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E73" w:rsidRDefault="00E54E73" w:rsidP="00434297">
      <w:bookmarkStart w:id="0" w:name="_GoBack"/>
      <w:bookmarkEnd w:id="0"/>
    </w:p>
    <w:p w:rsidR="00E54E73" w:rsidRPr="00AC4AD6" w:rsidRDefault="00E54E73" w:rsidP="00E54E73">
      <w:pPr>
        <w:pStyle w:val="Heading1"/>
      </w:pPr>
      <w:bookmarkStart w:id="1" w:name="_Toc415727647"/>
      <w:r w:rsidRPr="00AC4AD6">
        <w:t>The National Federation of the Blind</w:t>
      </w:r>
      <w:r w:rsidRPr="00AC4AD6">
        <w:br/>
        <w:t>T/A Blind Federation of America</w:t>
      </w:r>
      <w:bookmarkStart w:id="2" w:name="_Toc415727648"/>
      <w:bookmarkEnd w:id="1"/>
      <w:r w:rsidR="00BB3056">
        <w:br/>
      </w:r>
      <w:r w:rsidR="008B4EC1">
        <w:t xml:space="preserve">Consolidated </w:t>
      </w:r>
      <w:r w:rsidRPr="00AC4AD6">
        <w:t>Financial Statements</w:t>
      </w:r>
      <w:bookmarkStart w:id="3" w:name="_Toc415727649"/>
      <w:bookmarkEnd w:id="2"/>
      <w:r w:rsidR="00BB3056">
        <w:br/>
      </w:r>
      <w:r w:rsidRPr="00AC4AD6">
        <w:t>December 31, 201</w:t>
      </w:r>
      <w:bookmarkEnd w:id="3"/>
      <w:r w:rsidR="00E34D5B">
        <w:t>5</w:t>
      </w:r>
    </w:p>
    <w:p w:rsidR="00E54E73" w:rsidRDefault="00E54E73" w:rsidP="00434297"/>
    <w:p w:rsidR="00E54E73" w:rsidRPr="00E54E73" w:rsidRDefault="00E54E73" w:rsidP="00376A2B">
      <w:pPr>
        <w:pStyle w:val="Heading2"/>
      </w:pPr>
      <w:r>
        <w:t>Table of Contents</w:t>
      </w:r>
    </w:p>
    <w:sdt>
      <w:sdtPr>
        <w:id w:val="-1823574680"/>
        <w:docPartObj>
          <w:docPartGallery w:val="Table of Contents"/>
          <w:docPartUnique/>
        </w:docPartObj>
      </w:sdtPr>
      <w:sdtEndPr>
        <w:rPr>
          <w:b/>
          <w:bCs/>
          <w:noProof/>
        </w:rPr>
      </w:sdtEndPr>
      <w:sdtContent>
        <w:p w:rsidR="00E54E73" w:rsidRPr="00E54E73" w:rsidRDefault="00E54E73" w:rsidP="00E54E73">
          <w:pPr>
            <w:rPr>
              <w:rStyle w:val="Heading1Char"/>
            </w:rPr>
          </w:pPr>
        </w:p>
        <w:p w:rsidR="00E54E73" w:rsidRDefault="00E54E73" w:rsidP="00E54E73">
          <w:pPr>
            <w:pStyle w:val="TOC1"/>
          </w:pPr>
          <w:r>
            <w:fldChar w:fldCharType="begin"/>
          </w:r>
          <w:r>
            <w:instrText xml:space="preserve"> TOC \o "1-3" \h \z \u </w:instrText>
          </w:r>
          <w:r>
            <w:fldChar w:fldCharType="separate"/>
          </w:r>
          <w:hyperlink w:anchor="_Toc415727650" w:history="1">
            <w:r w:rsidRPr="00E54E73">
              <w:rPr>
                <w:rStyle w:val="Hyperlink"/>
                <w:b/>
              </w:rPr>
              <w:t>Independent Auditors' Report</w:t>
            </w:r>
            <w:r>
              <w:rPr>
                <w:webHidden/>
              </w:rPr>
              <w:tab/>
            </w:r>
            <w:r>
              <w:rPr>
                <w:webHidden/>
              </w:rPr>
              <w:fldChar w:fldCharType="begin"/>
            </w:r>
            <w:r>
              <w:rPr>
                <w:webHidden/>
              </w:rPr>
              <w:instrText xml:space="preserve"> PAGEREF _Toc415727650 \h </w:instrText>
            </w:r>
            <w:r>
              <w:rPr>
                <w:webHidden/>
              </w:rPr>
            </w:r>
            <w:r>
              <w:rPr>
                <w:webHidden/>
              </w:rPr>
              <w:fldChar w:fldCharType="separate"/>
            </w:r>
            <w:r w:rsidR="004523C7">
              <w:rPr>
                <w:webHidden/>
              </w:rPr>
              <w:t>2</w:t>
            </w:r>
            <w:r>
              <w:rPr>
                <w:webHidden/>
              </w:rPr>
              <w:fldChar w:fldCharType="end"/>
            </w:r>
          </w:hyperlink>
        </w:p>
        <w:p w:rsidR="00E54E73" w:rsidRPr="00E54E73" w:rsidRDefault="008B4EC1" w:rsidP="00E54E73">
          <w:pPr>
            <w:pStyle w:val="TOC1"/>
            <w:rPr>
              <w:rStyle w:val="Hyperlink"/>
              <w:color w:val="auto"/>
              <w:u w:val="none"/>
            </w:rPr>
          </w:pPr>
          <w:r>
            <w:rPr>
              <w:rStyle w:val="Hyperlink"/>
              <w:b/>
              <w:color w:val="auto"/>
              <w:u w:val="none"/>
            </w:rPr>
            <w:t xml:space="preserve">Consolidated </w:t>
          </w:r>
          <w:r w:rsidR="00E54E73" w:rsidRPr="00E54E73">
            <w:rPr>
              <w:rStyle w:val="Hyperlink"/>
              <w:b/>
              <w:color w:val="auto"/>
              <w:u w:val="none"/>
            </w:rPr>
            <w:t>Financial Statements</w:t>
          </w:r>
          <w:r w:rsidR="00E54E73">
            <w:rPr>
              <w:rStyle w:val="Hyperlink"/>
              <w:b/>
              <w:color w:val="auto"/>
              <w:u w:val="none"/>
            </w:rPr>
            <w:t>:</w:t>
          </w:r>
        </w:p>
        <w:p w:rsidR="00E54E73" w:rsidRDefault="009E07F2" w:rsidP="00E54E73">
          <w:pPr>
            <w:pStyle w:val="TOC1"/>
            <w:ind w:left="180"/>
          </w:pPr>
          <w:r>
            <w:t xml:space="preserve">Consolidated </w:t>
          </w:r>
          <w:hyperlink w:anchor="_Toc415727654" w:history="1">
            <w:r w:rsidR="00E54E73" w:rsidRPr="00912792">
              <w:rPr>
                <w:rStyle w:val="Hyperlink"/>
              </w:rPr>
              <w:t>Statement of Financial Position</w:t>
            </w:r>
            <w:r w:rsidR="00E54E73">
              <w:rPr>
                <w:webHidden/>
              </w:rPr>
              <w:tab/>
            </w:r>
            <w:r w:rsidR="00E54E73">
              <w:rPr>
                <w:webHidden/>
              </w:rPr>
              <w:fldChar w:fldCharType="begin"/>
            </w:r>
            <w:r w:rsidR="00E54E73">
              <w:rPr>
                <w:webHidden/>
              </w:rPr>
              <w:instrText xml:space="preserve"> PAGEREF _Toc415727654 \h </w:instrText>
            </w:r>
            <w:r w:rsidR="00E54E73">
              <w:rPr>
                <w:webHidden/>
              </w:rPr>
            </w:r>
            <w:r w:rsidR="00E54E73">
              <w:rPr>
                <w:webHidden/>
              </w:rPr>
              <w:fldChar w:fldCharType="separate"/>
            </w:r>
            <w:r w:rsidR="004523C7">
              <w:rPr>
                <w:webHidden/>
              </w:rPr>
              <w:t>4</w:t>
            </w:r>
            <w:r w:rsidR="00E54E73">
              <w:rPr>
                <w:webHidden/>
              </w:rPr>
              <w:fldChar w:fldCharType="end"/>
            </w:r>
          </w:hyperlink>
        </w:p>
        <w:p w:rsidR="00E54E73" w:rsidRDefault="009E07F2" w:rsidP="00E54E73">
          <w:pPr>
            <w:pStyle w:val="TOC1"/>
            <w:ind w:left="180"/>
          </w:pPr>
          <w:r>
            <w:t xml:space="preserve">Consolidated </w:t>
          </w:r>
          <w:hyperlink w:anchor="_Toc415727659" w:history="1">
            <w:r w:rsidR="00E54E73" w:rsidRPr="00912792">
              <w:rPr>
                <w:rStyle w:val="Hyperlink"/>
              </w:rPr>
              <w:t>Statements of Activities</w:t>
            </w:r>
            <w:r w:rsidR="00E54E73">
              <w:rPr>
                <w:webHidden/>
              </w:rPr>
              <w:tab/>
            </w:r>
            <w:r w:rsidR="00E54E73">
              <w:rPr>
                <w:webHidden/>
              </w:rPr>
              <w:fldChar w:fldCharType="begin"/>
            </w:r>
            <w:r w:rsidR="00E54E73">
              <w:rPr>
                <w:webHidden/>
              </w:rPr>
              <w:instrText xml:space="preserve"> PAGEREF _Toc415727659 \h </w:instrText>
            </w:r>
            <w:r w:rsidR="00E54E73">
              <w:rPr>
                <w:webHidden/>
              </w:rPr>
            </w:r>
            <w:r w:rsidR="00E54E73">
              <w:rPr>
                <w:webHidden/>
              </w:rPr>
              <w:fldChar w:fldCharType="separate"/>
            </w:r>
            <w:r w:rsidR="004523C7">
              <w:rPr>
                <w:webHidden/>
              </w:rPr>
              <w:t>5</w:t>
            </w:r>
            <w:r w:rsidR="00E54E73">
              <w:rPr>
                <w:webHidden/>
              </w:rPr>
              <w:fldChar w:fldCharType="end"/>
            </w:r>
          </w:hyperlink>
        </w:p>
        <w:p w:rsidR="00E54E73" w:rsidRDefault="009E07F2" w:rsidP="00E54E73">
          <w:pPr>
            <w:pStyle w:val="TOC1"/>
            <w:ind w:left="180"/>
          </w:pPr>
          <w:r>
            <w:t xml:space="preserve">Consolidated </w:t>
          </w:r>
          <w:hyperlink w:anchor="_Toc415727665" w:history="1">
            <w:r w:rsidR="00E54E73" w:rsidRPr="00912792">
              <w:rPr>
                <w:rStyle w:val="Hyperlink"/>
              </w:rPr>
              <w:t>Statements of Functional Expenses</w:t>
            </w:r>
            <w:r w:rsidR="00E54E73">
              <w:rPr>
                <w:webHidden/>
              </w:rPr>
              <w:tab/>
            </w:r>
            <w:r w:rsidR="00E54E73">
              <w:rPr>
                <w:webHidden/>
              </w:rPr>
              <w:fldChar w:fldCharType="begin"/>
            </w:r>
            <w:r w:rsidR="00E54E73">
              <w:rPr>
                <w:webHidden/>
              </w:rPr>
              <w:instrText xml:space="preserve"> PAGEREF _Toc415727665 \h </w:instrText>
            </w:r>
            <w:r w:rsidR="00E54E73">
              <w:rPr>
                <w:webHidden/>
              </w:rPr>
            </w:r>
            <w:r w:rsidR="00E54E73">
              <w:rPr>
                <w:webHidden/>
              </w:rPr>
              <w:fldChar w:fldCharType="separate"/>
            </w:r>
            <w:r w:rsidR="004523C7">
              <w:rPr>
                <w:webHidden/>
              </w:rPr>
              <w:t>7</w:t>
            </w:r>
            <w:r w:rsidR="00E54E73">
              <w:rPr>
                <w:webHidden/>
              </w:rPr>
              <w:fldChar w:fldCharType="end"/>
            </w:r>
          </w:hyperlink>
        </w:p>
        <w:p w:rsidR="00E54E73" w:rsidRDefault="009E07F2" w:rsidP="00E54E73">
          <w:pPr>
            <w:pStyle w:val="TOC1"/>
            <w:ind w:left="180"/>
          </w:pPr>
          <w:r>
            <w:t xml:space="preserve">Consolidated </w:t>
          </w:r>
          <w:hyperlink w:anchor="_Toc415727669" w:history="1">
            <w:r w:rsidR="00E54E73" w:rsidRPr="00912792">
              <w:rPr>
                <w:rStyle w:val="Hyperlink"/>
              </w:rPr>
              <w:t>Statement of Cash Flows</w:t>
            </w:r>
            <w:r w:rsidR="00E54E73">
              <w:rPr>
                <w:webHidden/>
              </w:rPr>
              <w:tab/>
            </w:r>
            <w:r w:rsidR="00E54E73">
              <w:rPr>
                <w:webHidden/>
              </w:rPr>
              <w:fldChar w:fldCharType="begin"/>
            </w:r>
            <w:r w:rsidR="00E54E73">
              <w:rPr>
                <w:webHidden/>
              </w:rPr>
              <w:instrText xml:space="preserve"> PAGEREF _Toc415727669 \h </w:instrText>
            </w:r>
            <w:r w:rsidR="00E54E73">
              <w:rPr>
                <w:webHidden/>
              </w:rPr>
            </w:r>
            <w:r w:rsidR="00E54E73">
              <w:rPr>
                <w:webHidden/>
              </w:rPr>
              <w:fldChar w:fldCharType="separate"/>
            </w:r>
            <w:r w:rsidR="004523C7">
              <w:rPr>
                <w:webHidden/>
              </w:rPr>
              <w:t>9</w:t>
            </w:r>
            <w:r w:rsidR="00E54E73">
              <w:rPr>
                <w:webHidden/>
              </w:rPr>
              <w:fldChar w:fldCharType="end"/>
            </w:r>
          </w:hyperlink>
        </w:p>
        <w:p w:rsidR="00E54E73" w:rsidRDefault="001E1BC8" w:rsidP="00E54E73">
          <w:pPr>
            <w:pStyle w:val="TOC1"/>
            <w:ind w:left="180"/>
          </w:pPr>
          <w:hyperlink w:anchor="_Toc415727676" w:history="1">
            <w:r w:rsidR="00E54E73">
              <w:rPr>
                <w:rStyle w:val="Hyperlink"/>
              </w:rPr>
              <w:t xml:space="preserve">Notes to </w:t>
            </w:r>
            <w:r w:rsidR="009E07F2">
              <w:rPr>
                <w:rStyle w:val="Hyperlink"/>
              </w:rPr>
              <w:t xml:space="preserve">Consolidated </w:t>
            </w:r>
            <w:r w:rsidR="00E54E73">
              <w:rPr>
                <w:rStyle w:val="Hyperlink"/>
              </w:rPr>
              <w:t>Financial Statements</w:t>
            </w:r>
            <w:r w:rsidR="00E54E73">
              <w:rPr>
                <w:webHidden/>
              </w:rPr>
              <w:tab/>
            </w:r>
            <w:r w:rsidR="00E54E73">
              <w:rPr>
                <w:webHidden/>
              </w:rPr>
              <w:fldChar w:fldCharType="begin"/>
            </w:r>
            <w:r w:rsidR="00E54E73">
              <w:rPr>
                <w:webHidden/>
              </w:rPr>
              <w:instrText xml:space="preserve"> PAGEREF _Toc415727676 \h </w:instrText>
            </w:r>
            <w:r w:rsidR="00E54E73">
              <w:rPr>
                <w:webHidden/>
              </w:rPr>
            </w:r>
            <w:r w:rsidR="00E54E73">
              <w:rPr>
                <w:webHidden/>
              </w:rPr>
              <w:fldChar w:fldCharType="separate"/>
            </w:r>
            <w:r w:rsidR="004523C7">
              <w:rPr>
                <w:webHidden/>
              </w:rPr>
              <w:t>11</w:t>
            </w:r>
            <w:r w:rsidR="00E54E73">
              <w:rPr>
                <w:webHidden/>
              </w:rPr>
              <w:fldChar w:fldCharType="end"/>
            </w:r>
          </w:hyperlink>
        </w:p>
        <w:p w:rsidR="00E54E73" w:rsidRDefault="00E54E73">
          <w:r>
            <w:rPr>
              <w:b/>
              <w:bCs/>
              <w:noProof/>
            </w:rPr>
            <w:fldChar w:fldCharType="end"/>
          </w:r>
        </w:p>
      </w:sdtContent>
    </w:sdt>
    <w:p w:rsidR="00E54E73" w:rsidRDefault="00E54E73" w:rsidP="00E54E73">
      <w:pPr>
        <w:rPr>
          <w:rFonts w:eastAsiaTheme="majorEastAsia"/>
        </w:rPr>
      </w:pPr>
      <w:bookmarkStart w:id="4" w:name="_Toc415727650"/>
      <w:r>
        <w:br w:type="page"/>
      </w:r>
    </w:p>
    <w:p w:rsidR="000008DD" w:rsidRPr="00AC4AD6" w:rsidRDefault="000008DD" w:rsidP="00376A2B">
      <w:pPr>
        <w:pStyle w:val="Heading2"/>
      </w:pPr>
      <w:r w:rsidRPr="00AC4AD6">
        <w:lastRenderedPageBreak/>
        <w:t>Independent Auditors' Report</w:t>
      </w:r>
      <w:bookmarkEnd w:id="4"/>
    </w:p>
    <w:p w:rsidR="000008DD" w:rsidRPr="00AC4AD6" w:rsidRDefault="000008DD" w:rsidP="00376A2B"/>
    <w:p w:rsidR="000008DD" w:rsidRPr="00AC4AD6" w:rsidRDefault="000008DD" w:rsidP="00376A2B">
      <w:r w:rsidRPr="00AC4AD6">
        <w:t xml:space="preserve">To the Board of Directors and Officers of </w:t>
      </w:r>
    </w:p>
    <w:p w:rsidR="000008DD" w:rsidRPr="00AC4AD6" w:rsidRDefault="000008DD" w:rsidP="00376A2B">
      <w:r w:rsidRPr="00AC4AD6">
        <w:t>The National Federation of the Blind T/A Blind Federation of America</w:t>
      </w:r>
    </w:p>
    <w:p w:rsidR="000008DD" w:rsidRPr="00AC4AD6" w:rsidRDefault="000008DD" w:rsidP="00376A2B"/>
    <w:p w:rsidR="000008DD" w:rsidRPr="00AC4AD6" w:rsidRDefault="000008DD" w:rsidP="00376A2B">
      <w:pPr>
        <w:spacing w:after="240"/>
      </w:pPr>
      <w:r w:rsidRPr="00AC4AD6">
        <w:t xml:space="preserve">We have audited the accompanying </w:t>
      </w:r>
      <w:r w:rsidR="00E34D5B">
        <w:t xml:space="preserve">consolidated </w:t>
      </w:r>
      <w:r w:rsidRPr="00AC4AD6">
        <w:t>financial statements of The National Federation of the Blind T/A Blind Federation of America (a nonprofit organization), which comprise the</w:t>
      </w:r>
      <w:r w:rsidR="00E34D5B">
        <w:t xml:space="preserve"> consolidated</w:t>
      </w:r>
      <w:r w:rsidRPr="00AC4AD6">
        <w:t xml:space="preserve"> statement of financial position as of </w:t>
      </w:r>
      <w:r w:rsidR="00E34D5B">
        <w:t>December 31, 2015</w:t>
      </w:r>
      <w:r w:rsidRPr="00AC4AD6">
        <w:t xml:space="preserve">, and the related </w:t>
      </w:r>
      <w:r w:rsidR="00E34D5B">
        <w:t xml:space="preserve">consolidated </w:t>
      </w:r>
      <w:r w:rsidRPr="00AC4AD6">
        <w:t>statements of activities, functional expenses and cash flows for the year then ended, and the related not</w:t>
      </w:r>
      <w:r w:rsidR="008D43D7">
        <w:t xml:space="preserve">es to the </w:t>
      </w:r>
      <w:r w:rsidR="006E0575">
        <w:t xml:space="preserve">consolidated </w:t>
      </w:r>
      <w:r w:rsidR="008D43D7">
        <w:t>financial statements.</w:t>
      </w:r>
    </w:p>
    <w:p w:rsidR="000008DD" w:rsidRPr="00C34431" w:rsidRDefault="000008DD" w:rsidP="00376A2B">
      <w:pPr>
        <w:pStyle w:val="Heading3"/>
      </w:pPr>
      <w:bookmarkStart w:id="5" w:name="_Toc415727651"/>
      <w:r w:rsidRPr="00C34431">
        <w:t xml:space="preserve">Management's Responsibility for the </w:t>
      </w:r>
      <w:r w:rsidR="006E0575">
        <w:t xml:space="preserve">Consolidated </w:t>
      </w:r>
      <w:r w:rsidRPr="00C34431">
        <w:t>Financial Statements</w:t>
      </w:r>
      <w:bookmarkEnd w:id="5"/>
    </w:p>
    <w:p w:rsidR="000008DD" w:rsidRPr="00AC4AD6" w:rsidRDefault="000008DD" w:rsidP="00376A2B">
      <w:pPr>
        <w:pStyle w:val="NoSpacing"/>
      </w:pPr>
      <w:r w:rsidRPr="00AC4AD6">
        <w:t xml:space="preserve">Management is responsible for the preparation and fair presentation of these </w:t>
      </w:r>
      <w:r w:rsidR="00E34D5B">
        <w:t xml:space="preserve">consolidated </w:t>
      </w:r>
      <w:r w:rsidRPr="00AC4AD6">
        <w:t>financial st</w:t>
      </w:r>
      <w:r w:rsidR="00E34D5B">
        <w:t xml:space="preserve">atements in accordance with </w:t>
      </w:r>
      <w:r w:rsidRPr="00AC4AD6">
        <w:t xml:space="preserve">accounting principles generally accepted in the United States of America; this includes the design, implementation and maintenance of internal control relevant to the preparation and fair presentation of </w:t>
      </w:r>
      <w:r w:rsidR="00E34D5B">
        <w:t xml:space="preserve">consolidated </w:t>
      </w:r>
      <w:r w:rsidRPr="00AC4AD6">
        <w:t>financial statements that are free from material misstatement,</w:t>
      </w:r>
      <w:r w:rsidR="008D43D7">
        <w:t xml:space="preserve"> whether due to fraud or error.</w:t>
      </w:r>
    </w:p>
    <w:p w:rsidR="000008DD" w:rsidRPr="00C34431" w:rsidRDefault="000008DD" w:rsidP="00376A2B">
      <w:pPr>
        <w:pStyle w:val="Heading3"/>
      </w:pPr>
      <w:bookmarkStart w:id="6" w:name="_Toc415727652"/>
      <w:r w:rsidRPr="00C34431">
        <w:t>Auditor's Responsibility</w:t>
      </w:r>
      <w:bookmarkEnd w:id="6"/>
      <w:r w:rsidRPr="00C34431">
        <w:t xml:space="preserve">  </w:t>
      </w:r>
    </w:p>
    <w:p w:rsidR="000008DD" w:rsidRPr="00AC4AD6" w:rsidRDefault="000008DD" w:rsidP="00376A2B">
      <w:pPr>
        <w:pStyle w:val="NoSpacing"/>
      </w:pPr>
      <w:r w:rsidRPr="00AC4AD6">
        <w:t>Our responsibility is to express an opinion on these</w:t>
      </w:r>
      <w:r w:rsidR="00E34D5B">
        <w:t xml:space="preserve"> consolidated</w:t>
      </w:r>
      <w:r w:rsidRPr="00AC4AD6">
        <w:t xml:space="preserve"> financial statements based on our audit. We conducted our audit in accordance with auditing standards generally accepted in the United States of America. Those standards require that we plan and perform the audit to obtain reasonable assurance about whether the </w:t>
      </w:r>
      <w:r w:rsidR="00E34D5B">
        <w:t xml:space="preserve">consolidated </w:t>
      </w:r>
      <w:r w:rsidRPr="00AC4AD6">
        <w:t>financial statements are f</w:t>
      </w:r>
      <w:r w:rsidR="008D43D7">
        <w:t>ree from material misstatement.</w:t>
      </w:r>
    </w:p>
    <w:p w:rsidR="000008DD" w:rsidRPr="00AC4AD6" w:rsidRDefault="000008DD" w:rsidP="00376A2B">
      <w:pPr>
        <w:pStyle w:val="NoSpacing"/>
      </w:pPr>
      <w:r w:rsidRPr="00AC4AD6">
        <w:t xml:space="preserve">An audit involves performing procedures to obtain audit evidence about the amounts and disclosures in the </w:t>
      </w:r>
      <w:r w:rsidR="00E34D5B">
        <w:t xml:space="preserve">consolidated </w:t>
      </w:r>
      <w:r w:rsidRPr="00AC4AD6">
        <w:t xml:space="preserve">financial statements. The procedures selected depend on the auditor's judgment, including the assessment of the risks of material misstatement of the </w:t>
      </w:r>
      <w:r w:rsidR="00E34D5B">
        <w:t xml:space="preserve">consolidated </w:t>
      </w:r>
      <w:r w:rsidRPr="00AC4AD6">
        <w:t xml:space="preserve">financial statements, whether due to fraud or error. In making those risk assessments, the auditor considers internal control relevant to the entity's preparation and fair presentation of the </w:t>
      </w:r>
      <w:r w:rsidR="006E0575">
        <w:t xml:space="preserve">consolidated </w:t>
      </w:r>
      <w:r w:rsidRPr="00AC4AD6">
        <w:t>financial statements in order to design audit procedures that are appropriate in the circumstances, but not for the purpose of expressing an opinion on the effectiveness of the entity's internal control. Accordingly, we express no such opinion. An audit also includes evaluating the appropriateness of accounting policies used and the reasonableness of significant accounting estimates made by management, as well as evaluating the overall presentati</w:t>
      </w:r>
      <w:r w:rsidR="00130613">
        <w:t xml:space="preserve">on of the </w:t>
      </w:r>
      <w:r w:rsidR="00E34D5B">
        <w:t xml:space="preserve">consolidated </w:t>
      </w:r>
      <w:r w:rsidR="00130613">
        <w:t>financial statements.</w:t>
      </w:r>
    </w:p>
    <w:p w:rsidR="000008DD" w:rsidRPr="00AC4AD6" w:rsidRDefault="000008DD" w:rsidP="00376A2B">
      <w:pPr>
        <w:pStyle w:val="NoSpacing"/>
      </w:pPr>
      <w:r w:rsidRPr="00AC4AD6">
        <w:t>We believe that the audit evidence we have obtained is sufficient and appropriate to provide a basis for our au</w:t>
      </w:r>
      <w:r w:rsidR="00130613">
        <w:t>dit opinion.</w:t>
      </w:r>
    </w:p>
    <w:p w:rsidR="000008DD" w:rsidRPr="00C34431" w:rsidRDefault="000008DD" w:rsidP="00376A2B">
      <w:pPr>
        <w:pStyle w:val="Heading3"/>
      </w:pPr>
      <w:bookmarkStart w:id="7" w:name="_Toc415727653"/>
      <w:r w:rsidRPr="00C34431">
        <w:t>Opinion</w:t>
      </w:r>
      <w:bookmarkEnd w:id="7"/>
    </w:p>
    <w:p w:rsidR="000008DD" w:rsidRPr="00AC4AD6" w:rsidRDefault="000008DD" w:rsidP="00285FD8">
      <w:pPr>
        <w:pStyle w:val="NoSpacing"/>
      </w:pPr>
      <w:r w:rsidRPr="00AC4AD6">
        <w:t xml:space="preserve">In our opinion, the </w:t>
      </w:r>
      <w:r w:rsidR="00E34D5B">
        <w:t xml:space="preserve">consolidated </w:t>
      </w:r>
      <w:r w:rsidRPr="00AC4AD6">
        <w:t>financial statements referred to above present fairly, in all material respects, the financial position of The National Federation of the Blind T/A Blind</w:t>
      </w:r>
      <w:r>
        <w:t xml:space="preserve"> </w:t>
      </w:r>
      <w:r w:rsidRPr="00AC4AD6">
        <w:t>Federation of</w:t>
      </w:r>
      <w:r w:rsidR="00E34D5B">
        <w:t xml:space="preserve"> America as of December 31, 2015</w:t>
      </w:r>
      <w:r w:rsidRPr="00AC4AD6">
        <w:t xml:space="preserve">, and the </w:t>
      </w:r>
      <w:r w:rsidR="00C21E66">
        <w:t>changes</w:t>
      </w:r>
      <w:r w:rsidRPr="00AC4AD6">
        <w:t xml:space="preserve"> </w:t>
      </w:r>
      <w:r w:rsidR="00C21E66">
        <w:t>in its net assets and its</w:t>
      </w:r>
      <w:r w:rsidRPr="00AC4AD6">
        <w:t xml:space="preserve"> cash flows for the year then ended in accordance with accounting principles generally accepted in the United States of America.</w:t>
      </w:r>
    </w:p>
    <w:p w:rsidR="000008DD" w:rsidRPr="00AC4AD6" w:rsidRDefault="000008DD" w:rsidP="00285FD8">
      <w:pPr>
        <w:pStyle w:val="NoSpacing"/>
      </w:pPr>
    </w:p>
    <w:p w:rsidR="000008DD" w:rsidRPr="00AC4AD6" w:rsidRDefault="000008DD" w:rsidP="00285FD8">
      <w:pPr>
        <w:pStyle w:val="NoSpacing"/>
      </w:pPr>
      <w:r w:rsidRPr="00AC4AD6">
        <w:t xml:space="preserve">Rosen, Sapperstein &amp; Friedlander, </w:t>
      </w:r>
      <w:r w:rsidR="00E34D5B">
        <w:t>LLC</w:t>
      </w:r>
    </w:p>
    <w:p w:rsidR="000008DD" w:rsidRPr="00AC4AD6" w:rsidRDefault="00D24345" w:rsidP="00285FD8">
      <w:pPr>
        <w:pStyle w:val="NoSpacing"/>
      </w:pPr>
      <w:r>
        <w:t>March 18, 2016</w:t>
      </w:r>
    </w:p>
    <w:p w:rsidR="00330B49" w:rsidRDefault="00330B49">
      <w:pPr>
        <w:spacing w:after="200" w:line="276" w:lineRule="auto"/>
      </w:pPr>
      <w:r>
        <w:br w:type="page"/>
      </w:r>
    </w:p>
    <w:p w:rsidR="00EB3E4E" w:rsidRDefault="00EB3E4E" w:rsidP="00130613">
      <w:pPr>
        <w:pStyle w:val="Heading1"/>
        <w:sectPr w:rsidR="00EB3E4E" w:rsidSect="00EB3E4E">
          <w:footerReference w:type="default" r:id="rId9"/>
          <w:footerReference w:type="first" r:id="rId10"/>
          <w:pgSz w:w="12240" w:h="15840"/>
          <w:pgMar w:top="1080" w:right="1440" w:bottom="1440" w:left="1440" w:header="720" w:footer="720" w:gutter="0"/>
          <w:cols w:space="720"/>
          <w:docGrid w:linePitch="381"/>
        </w:sectPr>
      </w:pPr>
    </w:p>
    <w:p w:rsidR="00330B49" w:rsidRPr="00130613" w:rsidRDefault="00330B49" w:rsidP="00376A2B">
      <w:pPr>
        <w:pStyle w:val="Heading2"/>
      </w:pPr>
      <w:bookmarkStart w:id="8" w:name="_Toc415727654"/>
      <w:r w:rsidRPr="00130613">
        <w:t>The National Federation of the Blind</w:t>
      </w:r>
      <w:r w:rsidRPr="00130613">
        <w:br/>
        <w:t>T/A Blind Federation of America</w:t>
      </w:r>
      <w:r w:rsidRPr="00130613">
        <w:br/>
      </w:r>
      <w:r w:rsidR="00D24345">
        <w:t xml:space="preserve">Consolidated </w:t>
      </w:r>
      <w:r w:rsidRPr="00130613">
        <w:t>Statement of Financial Position</w:t>
      </w:r>
      <w:r w:rsidRPr="00130613">
        <w:br/>
        <w:t>December 31, 201</w:t>
      </w:r>
      <w:bookmarkEnd w:id="8"/>
      <w:r w:rsidR="00D24345">
        <w:t>5</w:t>
      </w:r>
    </w:p>
    <w:p w:rsidR="00330B49" w:rsidRPr="00AC4AD6" w:rsidRDefault="00330B49" w:rsidP="00376A2B">
      <w:pPr>
        <w:pStyle w:val="NoSpacing"/>
      </w:pPr>
      <w:r w:rsidRPr="00AC4AD6">
        <w:tab/>
      </w:r>
      <w:r w:rsidRPr="00AC4AD6">
        <w:tab/>
      </w:r>
      <w:r w:rsidRPr="00AC4AD6">
        <w:tab/>
      </w:r>
      <w:r w:rsidRPr="00AC4AD6">
        <w:tab/>
      </w:r>
      <w:r w:rsidRPr="00AC4AD6">
        <w:tab/>
      </w:r>
      <w:r w:rsidRPr="00AC4AD6">
        <w:tab/>
      </w:r>
      <w:r w:rsidRPr="00AC4AD6">
        <w:tab/>
      </w:r>
      <w:r w:rsidRPr="00AC4AD6">
        <w:tab/>
      </w:r>
      <w:r w:rsidRPr="00AC4AD6">
        <w:tab/>
      </w:r>
    </w:p>
    <w:p w:rsidR="00330B49" w:rsidRPr="00C0182E" w:rsidRDefault="00330B49" w:rsidP="00376A2B">
      <w:pPr>
        <w:pStyle w:val="Heading3"/>
      </w:pPr>
      <w:bookmarkStart w:id="9" w:name="_Toc415727655"/>
      <w:r w:rsidRPr="00C0182E">
        <w:t>ASSETS</w:t>
      </w:r>
      <w:bookmarkEnd w:id="9"/>
    </w:p>
    <w:tbl>
      <w:tblPr>
        <w:tblStyle w:val="TableGrid"/>
        <w:tblW w:w="0" w:type="auto"/>
        <w:tblLook w:val="0440" w:firstRow="0" w:lastRow="1" w:firstColumn="0" w:lastColumn="0" w:noHBand="0" w:noVBand="1"/>
      </w:tblPr>
      <w:tblGrid>
        <w:gridCol w:w="7938"/>
        <w:gridCol w:w="1638"/>
      </w:tblGrid>
      <w:tr w:rsidR="00330B49" w:rsidRPr="00AC4AD6" w:rsidTr="00D24345">
        <w:tc>
          <w:tcPr>
            <w:tcW w:w="7938" w:type="dxa"/>
            <w:vAlign w:val="center"/>
          </w:tcPr>
          <w:p w:rsidR="00330B49" w:rsidRPr="00AC4AD6" w:rsidRDefault="00330B49" w:rsidP="00376A2B">
            <w:pPr>
              <w:pStyle w:val="NoSpacing"/>
              <w:spacing w:after="0"/>
            </w:pPr>
            <w:r w:rsidRPr="00AC4AD6">
              <w:t>Ca</w:t>
            </w:r>
            <w:r w:rsidR="00D24345">
              <w:t>sh and cash equivalents</w:t>
            </w:r>
          </w:p>
        </w:tc>
        <w:tc>
          <w:tcPr>
            <w:tcW w:w="1638" w:type="dxa"/>
            <w:vAlign w:val="center"/>
          </w:tcPr>
          <w:p w:rsidR="00330B49" w:rsidRPr="00AC4AD6" w:rsidRDefault="00D24345" w:rsidP="00376A2B">
            <w:pPr>
              <w:pStyle w:val="NoSpacing"/>
              <w:spacing w:after="0"/>
              <w:jc w:val="right"/>
            </w:pPr>
            <w:r>
              <w:t>$2,846,801</w:t>
            </w:r>
          </w:p>
        </w:tc>
      </w:tr>
      <w:tr w:rsidR="00330B49" w:rsidRPr="00AC4AD6" w:rsidTr="00D24345">
        <w:tc>
          <w:tcPr>
            <w:tcW w:w="7938" w:type="dxa"/>
            <w:vAlign w:val="center"/>
          </w:tcPr>
          <w:p w:rsidR="00330B49" w:rsidRPr="00AC4AD6" w:rsidRDefault="00330B49" w:rsidP="00376A2B">
            <w:pPr>
              <w:pStyle w:val="NoSpacing"/>
              <w:spacing w:after="0"/>
            </w:pPr>
            <w:r w:rsidRPr="00AC4AD6">
              <w:t xml:space="preserve">Prepaid expenses </w:t>
            </w:r>
          </w:p>
        </w:tc>
        <w:tc>
          <w:tcPr>
            <w:tcW w:w="1638" w:type="dxa"/>
            <w:vAlign w:val="center"/>
          </w:tcPr>
          <w:p w:rsidR="00330B49" w:rsidRPr="00AC4AD6" w:rsidRDefault="00D24345" w:rsidP="00376A2B">
            <w:pPr>
              <w:pStyle w:val="NoSpacing"/>
              <w:spacing w:after="0"/>
              <w:jc w:val="right"/>
            </w:pPr>
            <w:r>
              <w:t>291,580</w:t>
            </w:r>
          </w:p>
        </w:tc>
      </w:tr>
      <w:tr w:rsidR="00330B49" w:rsidRPr="00AC4AD6" w:rsidTr="00D24345">
        <w:tc>
          <w:tcPr>
            <w:tcW w:w="7938" w:type="dxa"/>
            <w:vAlign w:val="center"/>
          </w:tcPr>
          <w:p w:rsidR="00330B49" w:rsidRPr="00AC4AD6" w:rsidRDefault="00D24345" w:rsidP="00376A2B">
            <w:pPr>
              <w:pStyle w:val="NoSpacing"/>
              <w:spacing w:after="0"/>
            </w:pPr>
            <w:r>
              <w:t>Notes receivable</w:t>
            </w:r>
          </w:p>
        </w:tc>
        <w:tc>
          <w:tcPr>
            <w:tcW w:w="1638" w:type="dxa"/>
            <w:vAlign w:val="center"/>
          </w:tcPr>
          <w:p w:rsidR="00330B49" w:rsidRPr="00AC4AD6" w:rsidRDefault="00D24345" w:rsidP="00376A2B">
            <w:pPr>
              <w:pStyle w:val="NoSpacing"/>
              <w:spacing w:after="0"/>
              <w:jc w:val="right"/>
            </w:pPr>
            <w:r>
              <w:t>102,389</w:t>
            </w:r>
          </w:p>
        </w:tc>
      </w:tr>
      <w:tr w:rsidR="00330B49" w:rsidRPr="00AC4AD6" w:rsidTr="00D24345">
        <w:tc>
          <w:tcPr>
            <w:tcW w:w="7938" w:type="dxa"/>
            <w:vAlign w:val="center"/>
          </w:tcPr>
          <w:p w:rsidR="00330B49" w:rsidRPr="00AC4AD6" w:rsidRDefault="00330B49" w:rsidP="00376A2B">
            <w:pPr>
              <w:pStyle w:val="NoSpacing"/>
              <w:spacing w:after="0"/>
            </w:pPr>
            <w:r w:rsidRPr="00AC4AD6">
              <w:t>O</w:t>
            </w:r>
            <w:r w:rsidR="00D24345">
              <w:t>ther receivables</w:t>
            </w:r>
          </w:p>
        </w:tc>
        <w:tc>
          <w:tcPr>
            <w:tcW w:w="1638" w:type="dxa"/>
            <w:vAlign w:val="center"/>
          </w:tcPr>
          <w:p w:rsidR="00330B49" w:rsidRPr="00AC4AD6" w:rsidRDefault="00D24345" w:rsidP="00376A2B">
            <w:pPr>
              <w:pStyle w:val="NoSpacing"/>
              <w:spacing w:after="0"/>
              <w:jc w:val="right"/>
            </w:pPr>
            <w:r>
              <w:t>359,130</w:t>
            </w:r>
          </w:p>
        </w:tc>
      </w:tr>
      <w:tr w:rsidR="00330B49" w:rsidRPr="00AC4AD6" w:rsidTr="00D24345">
        <w:tc>
          <w:tcPr>
            <w:tcW w:w="7938" w:type="dxa"/>
            <w:vAlign w:val="center"/>
          </w:tcPr>
          <w:p w:rsidR="00330B49" w:rsidRPr="00AC4AD6" w:rsidRDefault="00330B49" w:rsidP="00376A2B">
            <w:pPr>
              <w:pStyle w:val="NoSpacing"/>
              <w:spacing w:after="0"/>
            </w:pPr>
            <w:r w:rsidRPr="00AC4AD6">
              <w:t>I</w:t>
            </w:r>
            <w:r w:rsidR="00D24345">
              <w:t xml:space="preserve">nvestments </w:t>
            </w:r>
          </w:p>
        </w:tc>
        <w:tc>
          <w:tcPr>
            <w:tcW w:w="1638" w:type="dxa"/>
            <w:vAlign w:val="center"/>
          </w:tcPr>
          <w:p w:rsidR="00330B49" w:rsidRPr="00AC4AD6" w:rsidRDefault="00D24345" w:rsidP="00376A2B">
            <w:pPr>
              <w:pStyle w:val="NoSpacing"/>
              <w:spacing w:after="0"/>
              <w:jc w:val="right"/>
            </w:pPr>
            <w:r>
              <w:t>14,274,839</w:t>
            </w:r>
          </w:p>
        </w:tc>
      </w:tr>
      <w:tr w:rsidR="00330B49" w:rsidRPr="00AC4AD6" w:rsidTr="00D24345">
        <w:tc>
          <w:tcPr>
            <w:tcW w:w="7938" w:type="dxa"/>
            <w:vAlign w:val="center"/>
          </w:tcPr>
          <w:p w:rsidR="00330B49" w:rsidRPr="00AC4AD6" w:rsidRDefault="00330B49" w:rsidP="00376A2B">
            <w:pPr>
              <w:pStyle w:val="NoSpacing"/>
              <w:spacing w:after="0"/>
            </w:pPr>
            <w:r w:rsidRPr="00AC4AD6">
              <w:t xml:space="preserve">Other investments </w:t>
            </w:r>
            <w:r w:rsidR="00D24345">
              <w:t>- life insurance</w:t>
            </w:r>
          </w:p>
        </w:tc>
        <w:tc>
          <w:tcPr>
            <w:tcW w:w="1638" w:type="dxa"/>
            <w:vAlign w:val="center"/>
          </w:tcPr>
          <w:p w:rsidR="00330B49" w:rsidRPr="00AC4AD6" w:rsidRDefault="00D24345" w:rsidP="00376A2B">
            <w:pPr>
              <w:pStyle w:val="NoSpacing"/>
              <w:spacing w:after="0"/>
              <w:jc w:val="right"/>
            </w:pPr>
            <w:r>
              <w:t>2,271,151</w:t>
            </w:r>
          </w:p>
        </w:tc>
      </w:tr>
      <w:tr w:rsidR="00330B49" w:rsidRPr="00AC4AD6" w:rsidTr="00D24345">
        <w:tc>
          <w:tcPr>
            <w:tcW w:w="7938" w:type="dxa"/>
            <w:vAlign w:val="center"/>
          </w:tcPr>
          <w:p w:rsidR="00330B49" w:rsidRPr="00AC4AD6" w:rsidRDefault="00330B49" w:rsidP="00376A2B">
            <w:pPr>
              <w:pStyle w:val="NoSpacing"/>
              <w:spacing w:after="0"/>
            </w:pPr>
            <w:r w:rsidRPr="00AC4AD6">
              <w:t>Property and</w:t>
            </w:r>
            <w:r w:rsidR="00D24345">
              <w:t xml:space="preserve"> equipment - net </w:t>
            </w:r>
          </w:p>
        </w:tc>
        <w:tc>
          <w:tcPr>
            <w:tcW w:w="1638" w:type="dxa"/>
            <w:vAlign w:val="center"/>
          </w:tcPr>
          <w:p w:rsidR="00330B49" w:rsidRPr="00130613" w:rsidRDefault="00D24345" w:rsidP="00376A2B">
            <w:pPr>
              <w:pStyle w:val="NoSpacing"/>
              <w:spacing w:after="0"/>
              <w:jc w:val="right"/>
              <w:rPr>
                <w:u w:val="single"/>
              </w:rPr>
            </w:pPr>
            <w:r>
              <w:rPr>
                <w:u w:val="single"/>
              </w:rPr>
              <w:t>253,035</w:t>
            </w:r>
          </w:p>
        </w:tc>
      </w:tr>
      <w:tr w:rsidR="00D24345" w:rsidRPr="00AC4AD6" w:rsidTr="00D24345">
        <w:tc>
          <w:tcPr>
            <w:tcW w:w="7938" w:type="dxa"/>
            <w:vAlign w:val="center"/>
          </w:tcPr>
          <w:p w:rsidR="00D24345" w:rsidRPr="00AC4AD6" w:rsidRDefault="00D24345" w:rsidP="00376A2B">
            <w:pPr>
              <w:pStyle w:val="NoSpacing"/>
              <w:spacing w:after="0"/>
            </w:pPr>
            <w:r>
              <w:t>Intangible assets - net</w:t>
            </w:r>
          </w:p>
        </w:tc>
        <w:tc>
          <w:tcPr>
            <w:tcW w:w="1638" w:type="dxa"/>
            <w:vAlign w:val="center"/>
          </w:tcPr>
          <w:p w:rsidR="00D24345" w:rsidRDefault="00D24345" w:rsidP="00376A2B">
            <w:pPr>
              <w:pStyle w:val="NoSpacing"/>
              <w:spacing w:after="0"/>
              <w:jc w:val="right"/>
              <w:rPr>
                <w:u w:val="single"/>
              </w:rPr>
            </w:pPr>
            <w:r>
              <w:rPr>
                <w:u w:val="single"/>
              </w:rPr>
              <w:t>2,246,498</w:t>
            </w:r>
          </w:p>
        </w:tc>
      </w:tr>
      <w:tr w:rsidR="00330B49" w:rsidRPr="00AC4AD6" w:rsidTr="00D24345">
        <w:trPr>
          <w:trHeight w:val="377"/>
        </w:trPr>
        <w:tc>
          <w:tcPr>
            <w:tcW w:w="7938" w:type="dxa"/>
            <w:vAlign w:val="center"/>
          </w:tcPr>
          <w:p w:rsidR="00330B49" w:rsidRPr="00AC4AD6" w:rsidRDefault="00330B49" w:rsidP="00376A2B">
            <w:pPr>
              <w:pStyle w:val="NoSpacing"/>
              <w:spacing w:after="0"/>
            </w:pPr>
            <w:r w:rsidRPr="00AC4AD6">
              <w:t>TOTAL ASSETS</w:t>
            </w:r>
          </w:p>
        </w:tc>
        <w:tc>
          <w:tcPr>
            <w:tcW w:w="1638" w:type="dxa"/>
            <w:vAlign w:val="center"/>
          </w:tcPr>
          <w:p w:rsidR="00330B49" w:rsidRPr="00130613" w:rsidRDefault="00D24345" w:rsidP="00376A2B">
            <w:pPr>
              <w:pStyle w:val="NoSpacing"/>
              <w:spacing w:after="0"/>
              <w:jc w:val="right"/>
              <w:rPr>
                <w:u w:val="double"/>
              </w:rPr>
            </w:pPr>
            <w:r>
              <w:rPr>
                <w:u w:val="double"/>
              </w:rPr>
              <w:t>$22,645,423</w:t>
            </w:r>
          </w:p>
        </w:tc>
      </w:tr>
    </w:tbl>
    <w:p w:rsidR="00330B49" w:rsidRPr="00AC4AD6" w:rsidRDefault="00330B49" w:rsidP="00376A2B">
      <w:pPr>
        <w:pStyle w:val="Heading3"/>
      </w:pPr>
      <w:bookmarkStart w:id="10" w:name="_Toc415727656"/>
      <w:r w:rsidRPr="00AC4AD6">
        <w:t>LIABILITIES AND NET ASSETS</w:t>
      </w:r>
      <w:bookmarkEnd w:id="10"/>
    </w:p>
    <w:tbl>
      <w:tblPr>
        <w:tblStyle w:val="TableGrid"/>
        <w:tblW w:w="0" w:type="auto"/>
        <w:tblLook w:val="04C0" w:firstRow="0" w:lastRow="1" w:firstColumn="1" w:lastColumn="0" w:noHBand="0" w:noVBand="1"/>
      </w:tblPr>
      <w:tblGrid>
        <w:gridCol w:w="7960"/>
        <w:gridCol w:w="1616"/>
      </w:tblGrid>
      <w:tr w:rsidR="00330B49" w:rsidRPr="00AC4AD6" w:rsidTr="00130613">
        <w:trPr>
          <w:tblHeader/>
        </w:trPr>
        <w:tc>
          <w:tcPr>
            <w:tcW w:w="9576" w:type="dxa"/>
            <w:gridSpan w:val="2"/>
            <w:vAlign w:val="center"/>
          </w:tcPr>
          <w:p w:rsidR="00330B49" w:rsidRPr="00AC4AD6" w:rsidRDefault="00330B49" w:rsidP="00130613">
            <w:pPr>
              <w:pStyle w:val="NoSpacing"/>
              <w:spacing w:after="0"/>
            </w:pPr>
            <w:r w:rsidRPr="00AC4AD6">
              <w:t>LIABILITIES:</w:t>
            </w:r>
          </w:p>
        </w:tc>
      </w:tr>
      <w:tr w:rsidR="00330B49" w:rsidRPr="00AC4AD6" w:rsidTr="005F16AA">
        <w:trPr>
          <w:tblHeader/>
        </w:trPr>
        <w:tc>
          <w:tcPr>
            <w:tcW w:w="7960" w:type="dxa"/>
            <w:vAlign w:val="center"/>
          </w:tcPr>
          <w:p w:rsidR="00330B49" w:rsidRPr="00AC4AD6" w:rsidRDefault="00330B49" w:rsidP="00E54E73">
            <w:pPr>
              <w:pStyle w:val="NoSpacing"/>
              <w:spacing w:after="0"/>
              <w:ind w:firstLine="180"/>
            </w:pPr>
            <w:r w:rsidRPr="00AC4AD6">
              <w:t>Accounts payable and accrued expenses</w:t>
            </w:r>
          </w:p>
        </w:tc>
        <w:tc>
          <w:tcPr>
            <w:tcW w:w="1616" w:type="dxa"/>
            <w:vAlign w:val="center"/>
          </w:tcPr>
          <w:p w:rsidR="00330B49" w:rsidRPr="00330B49" w:rsidRDefault="00D24345" w:rsidP="005F16AA">
            <w:pPr>
              <w:pStyle w:val="NoSpacing"/>
              <w:spacing w:after="0"/>
              <w:jc w:val="right"/>
            </w:pPr>
            <w:r>
              <w:t>$531,836</w:t>
            </w:r>
          </w:p>
        </w:tc>
      </w:tr>
      <w:tr w:rsidR="00D24345" w:rsidRPr="00AC4AD6" w:rsidTr="005F16AA">
        <w:trPr>
          <w:tblHeader/>
        </w:trPr>
        <w:tc>
          <w:tcPr>
            <w:tcW w:w="7960" w:type="dxa"/>
            <w:vAlign w:val="center"/>
          </w:tcPr>
          <w:p w:rsidR="00D24345" w:rsidRPr="00AC4AD6" w:rsidRDefault="00D24345" w:rsidP="00E54E73">
            <w:pPr>
              <w:pStyle w:val="NoSpacing"/>
              <w:spacing w:after="0"/>
              <w:ind w:firstLine="180"/>
            </w:pPr>
            <w:r>
              <w:t>Deferred revenue</w:t>
            </w:r>
          </w:p>
        </w:tc>
        <w:tc>
          <w:tcPr>
            <w:tcW w:w="1616" w:type="dxa"/>
            <w:vAlign w:val="center"/>
          </w:tcPr>
          <w:p w:rsidR="00D24345" w:rsidRDefault="00D24345" w:rsidP="005F16AA">
            <w:pPr>
              <w:pStyle w:val="NoSpacing"/>
              <w:spacing w:after="0"/>
              <w:jc w:val="right"/>
            </w:pPr>
            <w:r>
              <w:t>59,138</w:t>
            </w:r>
          </w:p>
        </w:tc>
      </w:tr>
      <w:tr w:rsidR="00330B49" w:rsidRPr="00AC4AD6" w:rsidTr="005F16AA">
        <w:trPr>
          <w:tblHeader/>
        </w:trPr>
        <w:tc>
          <w:tcPr>
            <w:tcW w:w="7960" w:type="dxa"/>
            <w:vAlign w:val="center"/>
          </w:tcPr>
          <w:p w:rsidR="00330B49" w:rsidRPr="00AC4AD6" w:rsidRDefault="00330B49" w:rsidP="00E54E73">
            <w:pPr>
              <w:pStyle w:val="NoSpacing"/>
              <w:spacing w:after="0"/>
              <w:ind w:firstLine="180"/>
            </w:pPr>
            <w:r w:rsidRPr="00AC4AD6">
              <w:t>Accrued</w:t>
            </w:r>
            <w:r w:rsidR="00D24345">
              <w:t xml:space="preserve"> annuity benefit </w:t>
            </w:r>
          </w:p>
        </w:tc>
        <w:tc>
          <w:tcPr>
            <w:tcW w:w="1616" w:type="dxa"/>
            <w:vAlign w:val="center"/>
          </w:tcPr>
          <w:p w:rsidR="00330B49" w:rsidRPr="00130613" w:rsidRDefault="00330B49" w:rsidP="005F16AA">
            <w:pPr>
              <w:pStyle w:val="NoSpacing"/>
              <w:spacing w:after="0"/>
              <w:jc w:val="right"/>
              <w:rPr>
                <w:u w:val="single"/>
              </w:rPr>
            </w:pPr>
            <w:r w:rsidRPr="00130613">
              <w:rPr>
                <w:u w:val="single"/>
              </w:rPr>
              <w:t>28,156</w:t>
            </w:r>
          </w:p>
        </w:tc>
      </w:tr>
      <w:tr w:rsidR="00330B49" w:rsidRPr="00AC4AD6" w:rsidTr="005F16AA">
        <w:trPr>
          <w:trHeight w:val="431"/>
          <w:tblHeader/>
        </w:trPr>
        <w:tc>
          <w:tcPr>
            <w:tcW w:w="7960" w:type="dxa"/>
            <w:vAlign w:val="center"/>
          </w:tcPr>
          <w:p w:rsidR="00330B49" w:rsidRPr="00AC4AD6" w:rsidRDefault="00330B49" w:rsidP="00E54E73">
            <w:pPr>
              <w:pStyle w:val="NoSpacing"/>
              <w:spacing w:after="0"/>
              <w:ind w:left="270"/>
            </w:pPr>
            <w:r w:rsidRPr="00AC4AD6">
              <w:t>TOTAL LIABILITIES</w:t>
            </w:r>
          </w:p>
        </w:tc>
        <w:tc>
          <w:tcPr>
            <w:tcW w:w="1616" w:type="dxa"/>
            <w:vAlign w:val="center"/>
          </w:tcPr>
          <w:p w:rsidR="00330B49" w:rsidRPr="00130613" w:rsidRDefault="00D24345" w:rsidP="005F16AA">
            <w:pPr>
              <w:pStyle w:val="NoSpacing"/>
              <w:spacing w:after="0"/>
              <w:jc w:val="right"/>
              <w:rPr>
                <w:u w:val="single"/>
              </w:rPr>
            </w:pPr>
            <w:r>
              <w:rPr>
                <w:u w:val="single"/>
              </w:rPr>
              <w:t>619,130</w:t>
            </w:r>
          </w:p>
        </w:tc>
      </w:tr>
      <w:tr w:rsidR="00330B49" w:rsidRPr="00AC4AD6" w:rsidTr="00130613">
        <w:trPr>
          <w:trHeight w:val="386"/>
          <w:tblHeader/>
        </w:trPr>
        <w:tc>
          <w:tcPr>
            <w:tcW w:w="9576" w:type="dxa"/>
            <w:gridSpan w:val="2"/>
            <w:vAlign w:val="center"/>
          </w:tcPr>
          <w:p w:rsidR="00330B49" w:rsidRPr="00330B49" w:rsidRDefault="006E0575" w:rsidP="00130613">
            <w:pPr>
              <w:pStyle w:val="NoSpacing"/>
              <w:spacing w:after="0"/>
            </w:pPr>
            <w:r>
              <w:t>NET ASSETS</w:t>
            </w:r>
            <w:r w:rsidR="00330B49" w:rsidRPr="00330B49">
              <w:t>:</w:t>
            </w:r>
          </w:p>
        </w:tc>
      </w:tr>
      <w:tr w:rsidR="00330B49" w:rsidRPr="00AC4AD6" w:rsidTr="005F16AA">
        <w:trPr>
          <w:tblHeader/>
        </w:trPr>
        <w:tc>
          <w:tcPr>
            <w:tcW w:w="7960" w:type="dxa"/>
            <w:vAlign w:val="center"/>
          </w:tcPr>
          <w:p w:rsidR="00330B49" w:rsidRPr="00AC4AD6" w:rsidRDefault="00330B49" w:rsidP="00E54E73">
            <w:pPr>
              <w:pStyle w:val="NoSpacing"/>
              <w:spacing w:after="0"/>
              <w:ind w:firstLine="180"/>
            </w:pPr>
            <w:r w:rsidRPr="00AC4AD6">
              <w:t>Unrestricted</w:t>
            </w:r>
          </w:p>
        </w:tc>
        <w:tc>
          <w:tcPr>
            <w:tcW w:w="1616" w:type="dxa"/>
            <w:vAlign w:val="center"/>
          </w:tcPr>
          <w:p w:rsidR="00330B49" w:rsidRPr="00330B49" w:rsidRDefault="00D24345" w:rsidP="005F16AA">
            <w:pPr>
              <w:pStyle w:val="NoSpacing"/>
              <w:spacing w:after="0"/>
              <w:jc w:val="right"/>
            </w:pPr>
            <w:r>
              <w:t>19,511,524</w:t>
            </w:r>
          </w:p>
        </w:tc>
      </w:tr>
      <w:tr w:rsidR="00330B49" w:rsidRPr="00AC4AD6" w:rsidTr="005F16AA">
        <w:trPr>
          <w:tblHeader/>
        </w:trPr>
        <w:tc>
          <w:tcPr>
            <w:tcW w:w="7960" w:type="dxa"/>
            <w:vAlign w:val="center"/>
          </w:tcPr>
          <w:p w:rsidR="00330B49" w:rsidRPr="00AC4AD6" w:rsidRDefault="00330B49" w:rsidP="00E54E73">
            <w:pPr>
              <w:pStyle w:val="NoSpacing"/>
              <w:spacing w:after="0"/>
              <w:ind w:firstLine="180"/>
            </w:pPr>
            <w:r w:rsidRPr="00AC4AD6">
              <w:t>Temporarily restricted</w:t>
            </w:r>
          </w:p>
        </w:tc>
        <w:tc>
          <w:tcPr>
            <w:tcW w:w="1616" w:type="dxa"/>
            <w:vAlign w:val="center"/>
          </w:tcPr>
          <w:p w:rsidR="00330B49" w:rsidRPr="00330B49" w:rsidRDefault="00D24345" w:rsidP="005F16AA">
            <w:pPr>
              <w:pStyle w:val="NoSpacing"/>
              <w:spacing w:after="0"/>
              <w:jc w:val="right"/>
            </w:pPr>
            <w:r>
              <w:t>2,277,301</w:t>
            </w:r>
          </w:p>
        </w:tc>
      </w:tr>
      <w:tr w:rsidR="00330B49" w:rsidRPr="00AC4AD6" w:rsidTr="005F16AA">
        <w:trPr>
          <w:trHeight w:val="351"/>
          <w:tblHeader/>
        </w:trPr>
        <w:tc>
          <w:tcPr>
            <w:tcW w:w="7960" w:type="dxa"/>
            <w:vAlign w:val="center"/>
          </w:tcPr>
          <w:p w:rsidR="00330B49" w:rsidRPr="00AC4AD6" w:rsidRDefault="00330B49" w:rsidP="00E54E73">
            <w:pPr>
              <w:pStyle w:val="NoSpacing"/>
              <w:spacing w:after="0"/>
              <w:ind w:firstLine="180"/>
            </w:pPr>
            <w:r w:rsidRPr="00AC4AD6">
              <w:t xml:space="preserve">Permanently restricted </w:t>
            </w:r>
          </w:p>
        </w:tc>
        <w:tc>
          <w:tcPr>
            <w:tcW w:w="1616" w:type="dxa"/>
            <w:vAlign w:val="center"/>
          </w:tcPr>
          <w:p w:rsidR="00330B49" w:rsidRPr="00130613" w:rsidRDefault="00F76582" w:rsidP="005F16AA">
            <w:pPr>
              <w:pStyle w:val="NoSpacing"/>
              <w:spacing w:after="0"/>
              <w:jc w:val="right"/>
              <w:rPr>
                <w:u w:val="single"/>
              </w:rPr>
            </w:pPr>
            <w:r w:rsidRPr="00130613">
              <w:rPr>
                <w:u w:val="single"/>
              </w:rPr>
              <w:t>237,468</w:t>
            </w:r>
          </w:p>
        </w:tc>
      </w:tr>
      <w:tr w:rsidR="00330B49" w:rsidRPr="00AC4AD6" w:rsidTr="005F16AA">
        <w:trPr>
          <w:trHeight w:val="431"/>
          <w:tblHeader/>
        </w:trPr>
        <w:tc>
          <w:tcPr>
            <w:tcW w:w="7960" w:type="dxa"/>
            <w:vAlign w:val="center"/>
          </w:tcPr>
          <w:p w:rsidR="00330B49" w:rsidRPr="00AC4AD6" w:rsidRDefault="00330B49" w:rsidP="00E54E73">
            <w:pPr>
              <w:pStyle w:val="NoSpacing"/>
              <w:spacing w:after="0"/>
              <w:ind w:firstLine="270"/>
            </w:pPr>
            <w:r w:rsidRPr="00AC4AD6">
              <w:t>TOTAL NET ASSETS</w:t>
            </w:r>
          </w:p>
        </w:tc>
        <w:tc>
          <w:tcPr>
            <w:tcW w:w="1616" w:type="dxa"/>
            <w:vAlign w:val="center"/>
          </w:tcPr>
          <w:p w:rsidR="00330B49" w:rsidRPr="00130613" w:rsidRDefault="00D24345" w:rsidP="005F16AA">
            <w:pPr>
              <w:pStyle w:val="NoSpacing"/>
              <w:spacing w:after="0"/>
              <w:jc w:val="right"/>
              <w:rPr>
                <w:u w:val="single"/>
              </w:rPr>
            </w:pPr>
            <w:r>
              <w:rPr>
                <w:u w:val="single"/>
              </w:rPr>
              <w:t>22,026,293</w:t>
            </w:r>
          </w:p>
        </w:tc>
      </w:tr>
      <w:tr w:rsidR="00330B49" w:rsidRPr="00AC4AD6" w:rsidTr="005F16AA">
        <w:trPr>
          <w:trHeight w:val="395"/>
          <w:tblHeader/>
        </w:trPr>
        <w:tc>
          <w:tcPr>
            <w:tcW w:w="7960" w:type="dxa"/>
            <w:vAlign w:val="center"/>
          </w:tcPr>
          <w:p w:rsidR="00330B49" w:rsidRPr="00AC4AD6" w:rsidRDefault="00330B49" w:rsidP="00130613">
            <w:pPr>
              <w:pStyle w:val="NoSpacing"/>
              <w:spacing w:after="0"/>
            </w:pPr>
            <w:r w:rsidRPr="00AC4AD6">
              <w:t>TOTAL LIABILITIES AND NET ASSETS</w:t>
            </w:r>
          </w:p>
        </w:tc>
        <w:tc>
          <w:tcPr>
            <w:tcW w:w="1616" w:type="dxa"/>
            <w:vAlign w:val="center"/>
          </w:tcPr>
          <w:p w:rsidR="00330B49" w:rsidRPr="00130613" w:rsidRDefault="00D24345" w:rsidP="005F16AA">
            <w:pPr>
              <w:pStyle w:val="NoSpacing"/>
              <w:spacing w:after="0"/>
              <w:jc w:val="right"/>
              <w:rPr>
                <w:u w:val="double"/>
              </w:rPr>
            </w:pPr>
            <w:r>
              <w:rPr>
                <w:u w:val="double"/>
              </w:rPr>
              <w:t>$22,645,423</w:t>
            </w:r>
          </w:p>
        </w:tc>
      </w:tr>
    </w:tbl>
    <w:p w:rsidR="00F76582" w:rsidRDefault="00F76582" w:rsidP="00F76582">
      <w:r>
        <w:br w:type="page"/>
      </w:r>
    </w:p>
    <w:p w:rsidR="00F76582" w:rsidRPr="00376A2B" w:rsidRDefault="00F76582" w:rsidP="00BB3056">
      <w:pPr>
        <w:pStyle w:val="Heading2"/>
      </w:pPr>
      <w:bookmarkStart w:id="11" w:name="_Toc415727657"/>
      <w:r w:rsidRPr="00376A2B">
        <w:t>The National Federation of the Blind</w:t>
      </w:r>
      <w:bookmarkStart w:id="12" w:name="_Toc415727658"/>
      <w:bookmarkEnd w:id="11"/>
      <w:r w:rsidR="00BB3056">
        <w:br/>
      </w:r>
      <w:r w:rsidRPr="00376A2B">
        <w:t>T/A Blind Federation of America</w:t>
      </w:r>
      <w:bookmarkStart w:id="13" w:name="_Toc415727659"/>
      <w:bookmarkEnd w:id="12"/>
      <w:r w:rsidR="00BB3056">
        <w:br/>
      </w:r>
      <w:r w:rsidR="005905B0">
        <w:t xml:space="preserve">Consolidated </w:t>
      </w:r>
      <w:r w:rsidRPr="00376A2B">
        <w:t>Statements of Activities</w:t>
      </w:r>
      <w:bookmarkStart w:id="14" w:name="_Toc415727660"/>
      <w:bookmarkEnd w:id="13"/>
      <w:r w:rsidR="00BB3056">
        <w:br/>
      </w:r>
      <w:r w:rsidRPr="00376A2B">
        <w:t>For the Year Ended December 31, 201</w:t>
      </w:r>
      <w:bookmarkEnd w:id="14"/>
      <w:r w:rsidR="005905B0">
        <w:t>5</w:t>
      </w:r>
    </w:p>
    <w:p w:rsidR="00F76582" w:rsidRPr="00AC4AD6" w:rsidRDefault="00F76582" w:rsidP="00376A2B">
      <w:pPr>
        <w:pStyle w:val="NoSpacing"/>
      </w:pPr>
    </w:p>
    <w:p w:rsidR="00F76582" w:rsidRPr="005B55A9" w:rsidRDefault="00F76582" w:rsidP="00376A2B">
      <w:pPr>
        <w:pStyle w:val="Heading3"/>
      </w:pPr>
      <w:bookmarkStart w:id="15" w:name="_Toc415727661"/>
      <w:r w:rsidRPr="005B55A9">
        <w:t xml:space="preserve">Revenues, Gains and Other Support </w:t>
      </w:r>
      <w:bookmarkEnd w:id="15"/>
    </w:p>
    <w:tbl>
      <w:tblPr>
        <w:tblStyle w:val="TableGrid"/>
        <w:tblW w:w="9738" w:type="dxa"/>
        <w:tblLook w:val="04E0" w:firstRow="1" w:lastRow="1" w:firstColumn="1" w:lastColumn="0" w:noHBand="0" w:noVBand="1"/>
      </w:tblPr>
      <w:tblGrid>
        <w:gridCol w:w="2890"/>
        <w:gridCol w:w="1725"/>
        <w:gridCol w:w="1751"/>
        <w:gridCol w:w="1756"/>
        <w:gridCol w:w="1616"/>
      </w:tblGrid>
      <w:tr w:rsidR="00A2318F" w:rsidRPr="00A2318F" w:rsidTr="00EB3E4E">
        <w:trPr>
          <w:trHeight w:val="701"/>
          <w:tblHeader/>
        </w:trPr>
        <w:tc>
          <w:tcPr>
            <w:tcW w:w="2890" w:type="dxa"/>
            <w:vAlign w:val="center"/>
          </w:tcPr>
          <w:p w:rsidR="00F76582" w:rsidRPr="00A2318F" w:rsidRDefault="00F76582" w:rsidP="00376A2B">
            <w:pPr>
              <w:pStyle w:val="NoSpacing"/>
              <w:spacing w:after="0"/>
            </w:pPr>
          </w:p>
        </w:tc>
        <w:tc>
          <w:tcPr>
            <w:tcW w:w="1725" w:type="dxa"/>
            <w:vAlign w:val="bottom"/>
          </w:tcPr>
          <w:p w:rsidR="00F76582" w:rsidRPr="00130613" w:rsidRDefault="00F76582" w:rsidP="00376A2B">
            <w:pPr>
              <w:pStyle w:val="NoSpacing"/>
              <w:spacing w:after="0"/>
              <w:jc w:val="center"/>
              <w:rPr>
                <w:b/>
              </w:rPr>
            </w:pPr>
            <w:r w:rsidRPr="00130613">
              <w:rPr>
                <w:b/>
              </w:rPr>
              <w:t>Unrestricted</w:t>
            </w:r>
          </w:p>
        </w:tc>
        <w:tc>
          <w:tcPr>
            <w:tcW w:w="1751" w:type="dxa"/>
            <w:vAlign w:val="bottom"/>
          </w:tcPr>
          <w:p w:rsidR="00F76582" w:rsidRPr="00130613" w:rsidRDefault="00F76582" w:rsidP="00376A2B">
            <w:pPr>
              <w:pStyle w:val="NoSpacing"/>
              <w:spacing w:after="0"/>
              <w:jc w:val="center"/>
              <w:rPr>
                <w:b/>
              </w:rPr>
            </w:pPr>
            <w:r w:rsidRPr="00130613">
              <w:rPr>
                <w:b/>
              </w:rPr>
              <w:t>Temporarily Restricted</w:t>
            </w:r>
          </w:p>
        </w:tc>
        <w:tc>
          <w:tcPr>
            <w:tcW w:w="1756" w:type="dxa"/>
            <w:vAlign w:val="bottom"/>
          </w:tcPr>
          <w:p w:rsidR="00F76582" w:rsidRPr="00130613" w:rsidRDefault="00F76582" w:rsidP="00376A2B">
            <w:pPr>
              <w:pStyle w:val="NoSpacing"/>
              <w:spacing w:after="0"/>
              <w:jc w:val="center"/>
              <w:rPr>
                <w:b/>
              </w:rPr>
            </w:pPr>
            <w:r w:rsidRPr="00130613">
              <w:rPr>
                <w:b/>
              </w:rPr>
              <w:t>Permanently Restricted</w:t>
            </w:r>
          </w:p>
        </w:tc>
        <w:tc>
          <w:tcPr>
            <w:tcW w:w="1616" w:type="dxa"/>
            <w:vAlign w:val="bottom"/>
          </w:tcPr>
          <w:p w:rsidR="00F76582" w:rsidRPr="00130613" w:rsidRDefault="00F76582" w:rsidP="00376A2B">
            <w:pPr>
              <w:pStyle w:val="NoSpacing"/>
              <w:spacing w:after="0"/>
              <w:jc w:val="center"/>
              <w:rPr>
                <w:b/>
              </w:rPr>
            </w:pPr>
            <w:r w:rsidRPr="00130613">
              <w:rPr>
                <w:b/>
              </w:rPr>
              <w:t>Total</w:t>
            </w:r>
          </w:p>
        </w:tc>
      </w:tr>
      <w:tr w:rsidR="00F76582" w:rsidRPr="00A2318F" w:rsidTr="00EB3E4E">
        <w:tc>
          <w:tcPr>
            <w:tcW w:w="2890" w:type="dxa"/>
            <w:vAlign w:val="center"/>
          </w:tcPr>
          <w:p w:rsidR="00EB3E4E" w:rsidRDefault="00EB3E4E" w:rsidP="00376A2B">
            <w:pPr>
              <w:pStyle w:val="NoSpacing"/>
              <w:spacing w:after="0"/>
            </w:pPr>
            <w:r>
              <w:t>Public support:</w:t>
            </w:r>
          </w:p>
          <w:p w:rsidR="00F76582" w:rsidRPr="00A2318F" w:rsidRDefault="00F76582" w:rsidP="00376A2B">
            <w:pPr>
              <w:pStyle w:val="NoSpacing"/>
              <w:spacing w:after="0"/>
            </w:pPr>
            <w:r w:rsidRPr="00A2318F">
              <w:t>Contributions</w:t>
            </w:r>
          </w:p>
        </w:tc>
        <w:tc>
          <w:tcPr>
            <w:tcW w:w="1725" w:type="dxa"/>
            <w:vAlign w:val="center"/>
          </w:tcPr>
          <w:p w:rsidR="00F76582" w:rsidRPr="00A2318F" w:rsidRDefault="005905B0" w:rsidP="00376A2B">
            <w:pPr>
              <w:pStyle w:val="NoSpacing"/>
              <w:spacing w:after="0"/>
              <w:jc w:val="center"/>
            </w:pPr>
            <w:r>
              <w:t>$14,820,336</w:t>
            </w:r>
          </w:p>
        </w:tc>
        <w:tc>
          <w:tcPr>
            <w:tcW w:w="1751" w:type="dxa"/>
            <w:vAlign w:val="center"/>
          </w:tcPr>
          <w:p w:rsidR="00F76582" w:rsidRPr="00A2318F" w:rsidRDefault="005905B0" w:rsidP="00376A2B">
            <w:pPr>
              <w:pStyle w:val="NoSpacing"/>
              <w:spacing w:after="0"/>
              <w:jc w:val="center"/>
            </w:pPr>
            <w:r>
              <w:t>$669,833</w:t>
            </w:r>
          </w:p>
        </w:tc>
        <w:tc>
          <w:tcPr>
            <w:tcW w:w="1756" w:type="dxa"/>
            <w:vAlign w:val="center"/>
          </w:tcPr>
          <w:p w:rsidR="00F76582" w:rsidRPr="00A2318F" w:rsidRDefault="00D14E5D" w:rsidP="00376A2B">
            <w:pPr>
              <w:pStyle w:val="NoSpacing"/>
              <w:spacing w:after="0"/>
              <w:jc w:val="center"/>
            </w:pPr>
            <w:r w:rsidRPr="00A2318F">
              <w:t>$</w:t>
            </w:r>
            <w:r w:rsidR="007B261F" w:rsidRPr="00A2318F">
              <w:t xml:space="preserve"> </w:t>
            </w:r>
            <w:r w:rsidRPr="00A2318F">
              <w:t>-</w:t>
            </w:r>
            <w:r w:rsidR="005B55A9" w:rsidRPr="00A2318F">
              <w:t>-</w:t>
            </w:r>
          </w:p>
        </w:tc>
        <w:tc>
          <w:tcPr>
            <w:tcW w:w="1616" w:type="dxa"/>
            <w:vAlign w:val="center"/>
          </w:tcPr>
          <w:p w:rsidR="00F76582" w:rsidRPr="00A2318F" w:rsidRDefault="005905B0" w:rsidP="00376A2B">
            <w:pPr>
              <w:pStyle w:val="NoSpacing"/>
              <w:spacing w:after="0"/>
              <w:jc w:val="center"/>
            </w:pPr>
            <w:r>
              <w:t>$15,490,169</w:t>
            </w:r>
          </w:p>
        </w:tc>
      </w:tr>
      <w:tr w:rsidR="00F76582" w:rsidRPr="00A2318F" w:rsidTr="00EB3E4E">
        <w:tc>
          <w:tcPr>
            <w:tcW w:w="2890" w:type="dxa"/>
            <w:vAlign w:val="center"/>
          </w:tcPr>
          <w:p w:rsidR="00EB3E4E" w:rsidRDefault="00EB3E4E" w:rsidP="00376A2B">
            <w:pPr>
              <w:pStyle w:val="NoSpacing"/>
              <w:spacing w:after="0"/>
            </w:pPr>
            <w:r>
              <w:t>Public support:</w:t>
            </w:r>
          </w:p>
          <w:p w:rsidR="00F76582" w:rsidRPr="00A2318F" w:rsidRDefault="00F76582" w:rsidP="00376A2B">
            <w:pPr>
              <w:pStyle w:val="NoSpacing"/>
              <w:spacing w:after="0"/>
            </w:pPr>
            <w:r w:rsidRPr="00A2318F">
              <w:t>Donated services</w:t>
            </w:r>
          </w:p>
        </w:tc>
        <w:tc>
          <w:tcPr>
            <w:tcW w:w="1725" w:type="dxa"/>
            <w:vAlign w:val="center"/>
          </w:tcPr>
          <w:p w:rsidR="00F76582" w:rsidRPr="00A2318F" w:rsidRDefault="005905B0" w:rsidP="00376A2B">
            <w:pPr>
              <w:pStyle w:val="NoSpacing"/>
              <w:spacing w:after="0"/>
              <w:jc w:val="center"/>
            </w:pPr>
            <w:r>
              <w:t>4,327,731</w:t>
            </w:r>
          </w:p>
        </w:tc>
        <w:tc>
          <w:tcPr>
            <w:tcW w:w="1751" w:type="dxa"/>
            <w:vAlign w:val="center"/>
          </w:tcPr>
          <w:p w:rsidR="00F76582" w:rsidRPr="00A2318F" w:rsidRDefault="007B261F" w:rsidP="00376A2B">
            <w:pPr>
              <w:pStyle w:val="NoSpacing"/>
              <w:spacing w:after="0"/>
              <w:jc w:val="center"/>
            </w:pPr>
            <w:r w:rsidRPr="00A2318F">
              <w:t>-</w:t>
            </w:r>
            <w:r w:rsidR="005B55A9" w:rsidRPr="00A2318F">
              <w:t>-</w:t>
            </w:r>
          </w:p>
        </w:tc>
        <w:tc>
          <w:tcPr>
            <w:tcW w:w="1756" w:type="dxa"/>
            <w:vAlign w:val="center"/>
          </w:tcPr>
          <w:p w:rsidR="00F76582" w:rsidRPr="00A2318F" w:rsidRDefault="007B261F" w:rsidP="00376A2B">
            <w:pPr>
              <w:pStyle w:val="NoSpacing"/>
              <w:spacing w:after="0"/>
              <w:jc w:val="center"/>
            </w:pPr>
            <w:r w:rsidRPr="00A2318F">
              <w:t>-</w:t>
            </w:r>
            <w:r w:rsidR="005B55A9" w:rsidRPr="00A2318F">
              <w:t>-</w:t>
            </w:r>
          </w:p>
        </w:tc>
        <w:tc>
          <w:tcPr>
            <w:tcW w:w="1616" w:type="dxa"/>
            <w:vAlign w:val="center"/>
          </w:tcPr>
          <w:p w:rsidR="00F76582" w:rsidRPr="00A2318F" w:rsidRDefault="007B261F" w:rsidP="005905B0">
            <w:pPr>
              <w:pStyle w:val="NoSpacing"/>
              <w:spacing w:after="0"/>
              <w:jc w:val="center"/>
            </w:pPr>
            <w:r w:rsidRPr="00A2318F">
              <w:t>4,</w:t>
            </w:r>
            <w:r w:rsidR="005905B0">
              <w:t>327,731</w:t>
            </w:r>
          </w:p>
        </w:tc>
      </w:tr>
      <w:tr w:rsidR="00A2318F" w:rsidRPr="00A2318F" w:rsidTr="00EB3E4E">
        <w:tc>
          <w:tcPr>
            <w:tcW w:w="2890" w:type="dxa"/>
            <w:vAlign w:val="center"/>
          </w:tcPr>
          <w:p w:rsidR="00EB3E4E" w:rsidRDefault="00EB3E4E" w:rsidP="00376A2B">
            <w:pPr>
              <w:pStyle w:val="NoSpacing"/>
              <w:spacing w:after="0"/>
            </w:pPr>
            <w:r>
              <w:t>Public support:</w:t>
            </w:r>
          </w:p>
          <w:p w:rsidR="00F76582" w:rsidRPr="00A2318F" w:rsidRDefault="00F76582" w:rsidP="00376A2B">
            <w:pPr>
              <w:pStyle w:val="NoSpacing"/>
              <w:spacing w:after="0"/>
            </w:pPr>
            <w:r w:rsidRPr="00A2318F">
              <w:t>Government grants</w:t>
            </w:r>
            <w:r w:rsidR="007B261F" w:rsidRPr="00A2318F">
              <w:t xml:space="preserve"> and contract services</w:t>
            </w:r>
          </w:p>
        </w:tc>
        <w:tc>
          <w:tcPr>
            <w:tcW w:w="1725" w:type="dxa"/>
            <w:vAlign w:val="center"/>
          </w:tcPr>
          <w:p w:rsidR="00F76582" w:rsidRPr="00A2318F" w:rsidRDefault="005905B0" w:rsidP="00376A2B">
            <w:pPr>
              <w:pStyle w:val="NoSpacing"/>
              <w:spacing w:after="0"/>
              <w:jc w:val="center"/>
            </w:pPr>
            <w:r>
              <w:t>1,912,295</w:t>
            </w:r>
          </w:p>
        </w:tc>
        <w:tc>
          <w:tcPr>
            <w:tcW w:w="1751" w:type="dxa"/>
            <w:vAlign w:val="center"/>
          </w:tcPr>
          <w:p w:rsidR="00F76582" w:rsidRPr="00A2318F" w:rsidRDefault="007B261F" w:rsidP="00376A2B">
            <w:pPr>
              <w:pStyle w:val="NoSpacing"/>
              <w:spacing w:after="0"/>
              <w:jc w:val="center"/>
            </w:pPr>
            <w:r w:rsidRPr="00A2318F">
              <w:t>-</w:t>
            </w:r>
            <w:r w:rsidR="005B55A9" w:rsidRPr="00A2318F">
              <w:t>-</w:t>
            </w:r>
          </w:p>
        </w:tc>
        <w:tc>
          <w:tcPr>
            <w:tcW w:w="1756" w:type="dxa"/>
            <w:vAlign w:val="center"/>
          </w:tcPr>
          <w:p w:rsidR="00F76582" w:rsidRPr="00A2318F" w:rsidRDefault="007B261F" w:rsidP="00376A2B">
            <w:pPr>
              <w:pStyle w:val="NoSpacing"/>
              <w:spacing w:after="0"/>
              <w:jc w:val="center"/>
            </w:pPr>
            <w:r w:rsidRPr="00A2318F">
              <w:t>-</w:t>
            </w:r>
            <w:r w:rsidR="005B55A9" w:rsidRPr="00A2318F">
              <w:t>-</w:t>
            </w:r>
          </w:p>
        </w:tc>
        <w:tc>
          <w:tcPr>
            <w:tcW w:w="1616" w:type="dxa"/>
            <w:vAlign w:val="center"/>
          </w:tcPr>
          <w:p w:rsidR="00F76582" w:rsidRPr="00A2318F" w:rsidRDefault="005905B0" w:rsidP="00376A2B">
            <w:pPr>
              <w:pStyle w:val="NoSpacing"/>
              <w:spacing w:after="0"/>
              <w:jc w:val="center"/>
            </w:pPr>
            <w:r>
              <w:t>1,912,295</w:t>
            </w:r>
          </w:p>
        </w:tc>
      </w:tr>
      <w:tr w:rsidR="00A2318F" w:rsidRPr="00A2318F" w:rsidTr="00EB3E4E">
        <w:trPr>
          <w:trHeight w:val="333"/>
        </w:trPr>
        <w:tc>
          <w:tcPr>
            <w:tcW w:w="2890" w:type="dxa"/>
            <w:vAlign w:val="center"/>
          </w:tcPr>
          <w:p w:rsidR="00EB3E4E" w:rsidRDefault="00EB3E4E" w:rsidP="00376A2B">
            <w:pPr>
              <w:pStyle w:val="NoSpacing"/>
              <w:spacing w:after="0"/>
            </w:pPr>
            <w:r>
              <w:t>Public support:</w:t>
            </w:r>
          </w:p>
          <w:p w:rsidR="00F76582" w:rsidRPr="00A2318F" w:rsidRDefault="00F76582" w:rsidP="00376A2B">
            <w:pPr>
              <w:pStyle w:val="NoSpacing"/>
              <w:spacing w:after="0"/>
            </w:pPr>
            <w:r w:rsidRPr="00A2318F">
              <w:t>Fulfillment of restrictions</w:t>
            </w:r>
          </w:p>
        </w:tc>
        <w:tc>
          <w:tcPr>
            <w:tcW w:w="1725" w:type="dxa"/>
            <w:vAlign w:val="center"/>
          </w:tcPr>
          <w:p w:rsidR="00F76582" w:rsidRPr="00A2318F" w:rsidRDefault="005905B0" w:rsidP="00376A2B">
            <w:pPr>
              <w:pStyle w:val="NoSpacing"/>
              <w:spacing w:after="0"/>
              <w:jc w:val="center"/>
            </w:pPr>
            <w:r>
              <w:t>98,199</w:t>
            </w:r>
          </w:p>
        </w:tc>
        <w:tc>
          <w:tcPr>
            <w:tcW w:w="1751" w:type="dxa"/>
            <w:vAlign w:val="center"/>
          </w:tcPr>
          <w:p w:rsidR="00F76582" w:rsidRPr="00A2318F" w:rsidRDefault="005905B0" w:rsidP="00376A2B">
            <w:pPr>
              <w:pStyle w:val="NoSpacing"/>
              <w:spacing w:after="0"/>
              <w:jc w:val="center"/>
            </w:pPr>
            <w:r>
              <w:t>(98,199</w:t>
            </w:r>
            <w:r w:rsidR="007B261F" w:rsidRPr="00A2318F">
              <w:t>)</w:t>
            </w:r>
          </w:p>
        </w:tc>
        <w:tc>
          <w:tcPr>
            <w:tcW w:w="1756" w:type="dxa"/>
            <w:vAlign w:val="center"/>
          </w:tcPr>
          <w:p w:rsidR="00F76582" w:rsidRPr="00A2318F" w:rsidRDefault="007B261F" w:rsidP="00376A2B">
            <w:pPr>
              <w:pStyle w:val="NoSpacing"/>
              <w:spacing w:after="0"/>
              <w:jc w:val="center"/>
            </w:pPr>
            <w:r w:rsidRPr="00A2318F">
              <w:t>-</w:t>
            </w:r>
            <w:r w:rsidR="005B55A9" w:rsidRPr="00A2318F">
              <w:t>-</w:t>
            </w:r>
          </w:p>
        </w:tc>
        <w:tc>
          <w:tcPr>
            <w:tcW w:w="1616" w:type="dxa"/>
            <w:vAlign w:val="center"/>
          </w:tcPr>
          <w:p w:rsidR="00F76582" w:rsidRPr="00A2318F" w:rsidRDefault="00084C34" w:rsidP="00376A2B">
            <w:pPr>
              <w:pStyle w:val="NoSpacing"/>
              <w:spacing w:after="0"/>
              <w:jc w:val="center"/>
            </w:pPr>
            <w:r>
              <w:t>--</w:t>
            </w:r>
          </w:p>
        </w:tc>
      </w:tr>
      <w:tr w:rsidR="00A2318F" w:rsidRPr="00A2318F" w:rsidTr="00EB3E4E">
        <w:trPr>
          <w:trHeight w:val="539"/>
        </w:trPr>
        <w:tc>
          <w:tcPr>
            <w:tcW w:w="2890" w:type="dxa"/>
            <w:vAlign w:val="center"/>
          </w:tcPr>
          <w:p w:rsidR="00F76582" w:rsidRPr="00A2318F" w:rsidRDefault="00F76582" w:rsidP="00376A2B">
            <w:pPr>
              <w:pStyle w:val="NoSpacing"/>
              <w:spacing w:after="0"/>
            </w:pPr>
            <w:r w:rsidRPr="00A2318F">
              <w:t>Total public support</w:t>
            </w:r>
          </w:p>
        </w:tc>
        <w:tc>
          <w:tcPr>
            <w:tcW w:w="1725" w:type="dxa"/>
            <w:vAlign w:val="center"/>
          </w:tcPr>
          <w:p w:rsidR="00F76582" w:rsidRPr="00A2318F" w:rsidRDefault="005905B0" w:rsidP="00376A2B">
            <w:pPr>
              <w:pStyle w:val="NoSpacing"/>
              <w:spacing w:after="0"/>
              <w:jc w:val="center"/>
            </w:pPr>
            <w:r>
              <w:t>21,158,561</w:t>
            </w:r>
          </w:p>
        </w:tc>
        <w:tc>
          <w:tcPr>
            <w:tcW w:w="1751" w:type="dxa"/>
            <w:vAlign w:val="center"/>
          </w:tcPr>
          <w:p w:rsidR="00F76582" w:rsidRPr="00A2318F" w:rsidRDefault="005905B0" w:rsidP="00376A2B">
            <w:pPr>
              <w:pStyle w:val="NoSpacing"/>
              <w:spacing w:after="0"/>
              <w:jc w:val="center"/>
            </w:pPr>
            <w:r>
              <w:t>571,634</w:t>
            </w:r>
          </w:p>
        </w:tc>
        <w:tc>
          <w:tcPr>
            <w:tcW w:w="1756" w:type="dxa"/>
            <w:vAlign w:val="center"/>
          </w:tcPr>
          <w:p w:rsidR="00F76582" w:rsidRPr="00A2318F" w:rsidRDefault="007B261F" w:rsidP="00376A2B">
            <w:pPr>
              <w:pStyle w:val="NoSpacing"/>
              <w:spacing w:after="0"/>
              <w:jc w:val="center"/>
            </w:pPr>
            <w:r w:rsidRPr="00A2318F">
              <w:t>-</w:t>
            </w:r>
            <w:r w:rsidR="005B55A9" w:rsidRPr="00A2318F">
              <w:t>-</w:t>
            </w:r>
          </w:p>
        </w:tc>
        <w:tc>
          <w:tcPr>
            <w:tcW w:w="1616" w:type="dxa"/>
            <w:vAlign w:val="center"/>
          </w:tcPr>
          <w:p w:rsidR="00F76582" w:rsidRPr="00A2318F" w:rsidRDefault="005905B0" w:rsidP="00376A2B">
            <w:pPr>
              <w:pStyle w:val="NoSpacing"/>
              <w:spacing w:after="0"/>
              <w:jc w:val="center"/>
            </w:pPr>
            <w:r>
              <w:t>21,730,195</w:t>
            </w:r>
          </w:p>
        </w:tc>
      </w:tr>
      <w:tr w:rsidR="00F76582" w:rsidRPr="00A2318F" w:rsidTr="00EB3E4E">
        <w:tc>
          <w:tcPr>
            <w:tcW w:w="2890" w:type="dxa"/>
            <w:vAlign w:val="center"/>
          </w:tcPr>
          <w:p w:rsidR="00EB3E4E" w:rsidRDefault="00EB3E4E" w:rsidP="00376A2B">
            <w:pPr>
              <w:pStyle w:val="NoSpacing"/>
              <w:spacing w:after="0"/>
            </w:pPr>
            <w:r>
              <w:t>Revenue:</w:t>
            </w:r>
          </w:p>
          <w:p w:rsidR="00F76582" w:rsidRPr="00A2318F" w:rsidRDefault="00F76582" w:rsidP="00376A2B">
            <w:pPr>
              <w:pStyle w:val="NoSpacing"/>
              <w:spacing w:after="0"/>
            </w:pPr>
            <w:r w:rsidRPr="00A2318F">
              <w:t>Sales - independence products and publications</w:t>
            </w:r>
          </w:p>
        </w:tc>
        <w:tc>
          <w:tcPr>
            <w:tcW w:w="1725" w:type="dxa"/>
            <w:vAlign w:val="center"/>
          </w:tcPr>
          <w:p w:rsidR="00F76582" w:rsidRPr="00A2318F" w:rsidRDefault="005905B0" w:rsidP="00376A2B">
            <w:pPr>
              <w:pStyle w:val="NoSpacing"/>
              <w:spacing w:after="0"/>
              <w:jc w:val="center"/>
            </w:pPr>
            <w:r>
              <w:t>733,932</w:t>
            </w:r>
          </w:p>
        </w:tc>
        <w:tc>
          <w:tcPr>
            <w:tcW w:w="1751" w:type="dxa"/>
            <w:vAlign w:val="center"/>
          </w:tcPr>
          <w:p w:rsidR="00F76582" w:rsidRPr="00A2318F" w:rsidRDefault="005B55A9" w:rsidP="00376A2B">
            <w:pPr>
              <w:pStyle w:val="NoSpacing"/>
              <w:spacing w:after="0"/>
              <w:jc w:val="center"/>
            </w:pPr>
            <w:r w:rsidRPr="00A2318F">
              <w:t>--</w:t>
            </w:r>
          </w:p>
        </w:tc>
        <w:tc>
          <w:tcPr>
            <w:tcW w:w="1756" w:type="dxa"/>
            <w:vAlign w:val="center"/>
          </w:tcPr>
          <w:p w:rsidR="00F76582" w:rsidRPr="00A2318F" w:rsidRDefault="005B55A9" w:rsidP="00376A2B">
            <w:pPr>
              <w:pStyle w:val="NoSpacing"/>
              <w:spacing w:after="0"/>
              <w:jc w:val="center"/>
            </w:pPr>
            <w:r w:rsidRPr="00A2318F">
              <w:t>--</w:t>
            </w:r>
          </w:p>
        </w:tc>
        <w:tc>
          <w:tcPr>
            <w:tcW w:w="1616" w:type="dxa"/>
            <w:vAlign w:val="center"/>
          </w:tcPr>
          <w:p w:rsidR="00F76582" w:rsidRPr="00A2318F" w:rsidRDefault="005905B0" w:rsidP="00376A2B">
            <w:pPr>
              <w:pStyle w:val="NoSpacing"/>
              <w:spacing w:after="0"/>
              <w:jc w:val="center"/>
            </w:pPr>
            <w:r>
              <w:t>733,932</w:t>
            </w:r>
          </w:p>
        </w:tc>
      </w:tr>
      <w:tr w:rsidR="00A2318F" w:rsidRPr="00A2318F" w:rsidTr="00EB3E4E">
        <w:tc>
          <w:tcPr>
            <w:tcW w:w="2890" w:type="dxa"/>
            <w:vAlign w:val="center"/>
          </w:tcPr>
          <w:p w:rsidR="00EB3E4E" w:rsidRDefault="00EB3E4E" w:rsidP="00376A2B">
            <w:pPr>
              <w:pStyle w:val="NoSpacing"/>
              <w:spacing w:after="0"/>
            </w:pPr>
            <w:r>
              <w:t>Revenue:</w:t>
            </w:r>
          </w:p>
          <w:p w:rsidR="00F76582" w:rsidRPr="00A2318F" w:rsidRDefault="00F76582" w:rsidP="00376A2B">
            <w:pPr>
              <w:pStyle w:val="NoSpacing"/>
              <w:spacing w:after="0"/>
            </w:pPr>
            <w:r w:rsidRPr="00A2318F">
              <w:t>Investment income</w:t>
            </w:r>
            <w:r w:rsidR="005905B0">
              <w:t xml:space="preserve"> (loss)</w:t>
            </w:r>
          </w:p>
        </w:tc>
        <w:tc>
          <w:tcPr>
            <w:tcW w:w="1725" w:type="dxa"/>
            <w:vAlign w:val="center"/>
          </w:tcPr>
          <w:p w:rsidR="00F76582" w:rsidRPr="00A2318F" w:rsidRDefault="005905B0" w:rsidP="00376A2B">
            <w:pPr>
              <w:pStyle w:val="NoSpacing"/>
              <w:spacing w:after="0"/>
              <w:jc w:val="center"/>
            </w:pPr>
            <w:r>
              <w:t>(598,918)</w:t>
            </w:r>
          </w:p>
        </w:tc>
        <w:tc>
          <w:tcPr>
            <w:tcW w:w="1751" w:type="dxa"/>
            <w:vAlign w:val="center"/>
          </w:tcPr>
          <w:p w:rsidR="00F76582" w:rsidRPr="00A2318F" w:rsidRDefault="005905B0" w:rsidP="00376A2B">
            <w:pPr>
              <w:pStyle w:val="NoSpacing"/>
              <w:spacing w:after="0"/>
              <w:jc w:val="center"/>
            </w:pPr>
            <w:r>
              <w:t>(157,041)</w:t>
            </w:r>
          </w:p>
        </w:tc>
        <w:tc>
          <w:tcPr>
            <w:tcW w:w="1756" w:type="dxa"/>
            <w:vAlign w:val="center"/>
          </w:tcPr>
          <w:p w:rsidR="00F76582" w:rsidRPr="00A2318F" w:rsidRDefault="005B55A9" w:rsidP="00376A2B">
            <w:pPr>
              <w:pStyle w:val="NoSpacing"/>
              <w:spacing w:after="0"/>
              <w:jc w:val="center"/>
            </w:pPr>
            <w:r w:rsidRPr="00A2318F">
              <w:t>--</w:t>
            </w:r>
          </w:p>
        </w:tc>
        <w:tc>
          <w:tcPr>
            <w:tcW w:w="1616" w:type="dxa"/>
            <w:vAlign w:val="center"/>
          </w:tcPr>
          <w:p w:rsidR="00F76582" w:rsidRPr="00A2318F" w:rsidRDefault="005905B0" w:rsidP="00376A2B">
            <w:pPr>
              <w:pStyle w:val="NoSpacing"/>
              <w:spacing w:after="0"/>
              <w:jc w:val="center"/>
            </w:pPr>
            <w:r>
              <w:t>(755,959)</w:t>
            </w:r>
          </w:p>
        </w:tc>
      </w:tr>
      <w:tr w:rsidR="00A2318F" w:rsidRPr="00A2318F" w:rsidTr="00EB3E4E">
        <w:trPr>
          <w:trHeight w:val="234"/>
        </w:trPr>
        <w:tc>
          <w:tcPr>
            <w:tcW w:w="2890" w:type="dxa"/>
            <w:vAlign w:val="center"/>
          </w:tcPr>
          <w:p w:rsidR="00EB3E4E" w:rsidRDefault="00EB3E4E" w:rsidP="00376A2B">
            <w:pPr>
              <w:pStyle w:val="NoSpacing"/>
              <w:spacing w:after="0"/>
            </w:pPr>
            <w:r>
              <w:t>Revenue:</w:t>
            </w:r>
          </w:p>
          <w:p w:rsidR="00F76582" w:rsidRPr="00A2318F" w:rsidRDefault="00F76582" w:rsidP="00376A2B">
            <w:pPr>
              <w:pStyle w:val="NoSpacing"/>
              <w:spacing w:after="0"/>
            </w:pPr>
            <w:r w:rsidRPr="00A2318F">
              <w:t>Royalties</w:t>
            </w:r>
          </w:p>
        </w:tc>
        <w:tc>
          <w:tcPr>
            <w:tcW w:w="1725" w:type="dxa"/>
            <w:vAlign w:val="center"/>
          </w:tcPr>
          <w:p w:rsidR="00F76582" w:rsidRPr="00A2318F" w:rsidRDefault="005905B0" w:rsidP="00376A2B">
            <w:pPr>
              <w:pStyle w:val="NoSpacing"/>
              <w:spacing w:after="0"/>
              <w:jc w:val="center"/>
            </w:pPr>
            <w:r>
              <w:t>1,646</w:t>
            </w:r>
          </w:p>
        </w:tc>
        <w:tc>
          <w:tcPr>
            <w:tcW w:w="1751" w:type="dxa"/>
            <w:vAlign w:val="center"/>
          </w:tcPr>
          <w:p w:rsidR="00F76582" w:rsidRPr="00A2318F" w:rsidRDefault="005B55A9" w:rsidP="00376A2B">
            <w:pPr>
              <w:pStyle w:val="NoSpacing"/>
              <w:spacing w:after="0"/>
              <w:jc w:val="center"/>
            </w:pPr>
            <w:r w:rsidRPr="00A2318F">
              <w:t>--</w:t>
            </w:r>
          </w:p>
        </w:tc>
        <w:tc>
          <w:tcPr>
            <w:tcW w:w="1756" w:type="dxa"/>
            <w:vAlign w:val="center"/>
          </w:tcPr>
          <w:p w:rsidR="00F76582" w:rsidRPr="00A2318F" w:rsidRDefault="005B55A9" w:rsidP="00376A2B">
            <w:pPr>
              <w:pStyle w:val="NoSpacing"/>
              <w:spacing w:after="0"/>
              <w:jc w:val="center"/>
            </w:pPr>
            <w:r w:rsidRPr="00A2318F">
              <w:t>--</w:t>
            </w:r>
          </w:p>
        </w:tc>
        <w:tc>
          <w:tcPr>
            <w:tcW w:w="1616" w:type="dxa"/>
            <w:vAlign w:val="center"/>
          </w:tcPr>
          <w:p w:rsidR="00F76582" w:rsidRPr="00A2318F" w:rsidRDefault="005905B0" w:rsidP="00376A2B">
            <w:pPr>
              <w:pStyle w:val="NoSpacing"/>
              <w:spacing w:after="0"/>
              <w:jc w:val="center"/>
            </w:pPr>
            <w:r>
              <w:t>1,646</w:t>
            </w:r>
          </w:p>
        </w:tc>
      </w:tr>
      <w:tr w:rsidR="00A2318F" w:rsidRPr="00A2318F" w:rsidTr="00EB3E4E">
        <w:trPr>
          <w:trHeight w:val="450"/>
        </w:trPr>
        <w:tc>
          <w:tcPr>
            <w:tcW w:w="2890" w:type="dxa"/>
            <w:vAlign w:val="center"/>
          </w:tcPr>
          <w:p w:rsidR="00F76582" w:rsidRPr="00A2318F" w:rsidRDefault="00F76582" w:rsidP="00376A2B">
            <w:pPr>
              <w:pStyle w:val="NoSpacing"/>
              <w:spacing w:after="0"/>
            </w:pPr>
            <w:r w:rsidRPr="00A2318F">
              <w:t>Total revenue</w:t>
            </w:r>
          </w:p>
        </w:tc>
        <w:tc>
          <w:tcPr>
            <w:tcW w:w="1725" w:type="dxa"/>
            <w:vAlign w:val="center"/>
          </w:tcPr>
          <w:p w:rsidR="00F76582" w:rsidRPr="00A2318F" w:rsidRDefault="005905B0" w:rsidP="00376A2B">
            <w:pPr>
              <w:pStyle w:val="NoSpacing"/>
              <w:spacing w:after="0"/>
              <w:jc w:val="center"/>
            </w:pPr>
            <w:r>
              <w:t>136,660</w:t>
            </w:r>
          </w:p>
        </w:tc>
        <w:tc>
          <w:tcPr>
            <w:tcW w:w="1751" w:type="dxa"/>
            <w:vAlign w:val="center"/>
          </w:tcPr>
          <w:p w:rsidR="00F76582" w:rsidRPr="00A2318F" w:rsidRDefault="005905B0" w:rsidP="00376A2B">
            <w:pPr>
              <w:pStyle w:val="NoSpacing"/>
              <w:spacing w:after="0"/>
              <w:jc w:val="center"/>
            </w:pPr>
            <w:r>
              <w:t>(157,041)</w:t>
            </w:r>
          </w:p>
        </w:tc>
        <w:tc>
          <w:tcPr>
            <w:tcW w:w="1756" w:type="dxa"/>
            <w:vAlign w:val="center"/>
          </w:tcPr>
          <w:p w:rsidR="00F76582" w:rsidRPr="00A2318F" w:rsidRDefault="005B55A9" w:rsidP="00376A2B">
            <w:pPr>
              <w:pStyle w:val="NoSpacing"/>
              <w:spacing w:after="0"/>
              <w:jc w:val="center"/>
            </w:pPr>
            <w:r w:rsidRPr="00A2318F">
              <w:t>--</w:t>
            </w:r>
          </w:p>
        </w:tc>
        <w:tc>
          <w:tcPr>
            <w:tcW w:w="1616" w:type="dxa"/>
            <w:vAlign w:val="center"/>
          </w:tcPr>
          <w:p w:rsidR="00F76582" w:rsidRPr="00A2318F" w:rsidRDefault="005905B0" w:rsidP="00376A2B">
            <w:pPr>
              <w:pStyle w:val="NoSpacing"/>
              <w:spacing w:after="0"/>
              <w:jc w:val="center"/>
            </w:pPr>
            <w:r>
              <w:t>(20,381)</w:t>
            </w:r>
          </w:p>
        </w:tc>
      </w:tr>
      <w:tr w:rsidR="00A2318F" w:rsidRPr="00A2318F" w:rsidTr="00EB3E4E">
        <w:trPr>
          <w:trHeight w:val="989"/>
        </w:trPr>
        <w:tc>
          <w:tcPr>
            <w:tcW w:w="2890" w:type="dxa"/>
            <w:vAlign w:val="center"/>
          </w:tcPr>
          <w:p w:rsidR="00F76582" w:rsidRPr="00A2318F" w:rsidRDefault="00F76582" w:rsidP="00376A2B">
            <w:pPr>
              <w:pStyle w:val="NoSpacing"/>
              <w:spacing w:after="0"/>
            </w:pPr>
            <w:r w:rsidRPr="00A2318F">
              <w:t>TOTAL REVENUES, GAINS AND OTHER SUPPORT</w:t>
            </w:r>
          </w:p>
        </w:tc>
        <w:tc>
          <w:tcPr>
            <w:tcW w:w="1725" w:type="dxa"/>
            <w:vAlign w:val="center"/>
          </w:tcPr>
          <w:p w:rsidR="00F76582" w:rsidRPr="00A2318F" w:rsidRDefault="005905B0" w:rsidP="00376A2B">
            <w:pPr>
              <w:pStyle w:val="NoSpacing"/>
              <w:spacing w:after="0"/>
              <w:jc w:val="center"/>
            </w:pPr>
            <w:r>
              <w:t>21,295,221</w:t>
            </w:r>
          </w:p>
        </w:tc>
        <w:tc>
          <w:tcPr>
            <w:tcW w:w="1751" w:type="dxa"/>
            <w:vAlign w:val="center"/>
          </w:tcPr>
          <w:p w:rsidR="00F76582" w:rsidRPr="00A2318F" w:rsidRDefault="005905B0" w:rsidP="00376A2B">
            <w:pPr>
              <w:pStyle w:val="NoSpacing"/>
              <w:spacing w:after="0"/>
              <w:jc w:val="center"/>
            </w:pPr>
            <w:r>
              <w:t>414,593</w:t>
            </w:r>
          </w:p>
        </w:tc>
        <w:tc>
          <w:tcPr>
            <w:tcW w:w="1756" w:type="dxa"/>
            <w:vAlign w:val="center"/>
          </w:tcPr>
          <w:p w:rsidR="00F76582" w:rsidRPr="00A2318F" w:rsidRDefault="005B55A9" w:rsidP="00376A2B">
            <w:pPr>
              <w:pStyle w:val="NoSpacing"/>
              <w:spacing w:after="0"/>
              <w:jc w:val="center"/>
            </w:pPr>
            <w:r w:rsidRPr="00A2318F">
              <w:t>--</w:t>
            </w:r>
          </w:p>
        </w:tc>
        <w:tc>
          <w:tcPr>
            <w:tcW w:w="1616" w:type="dxa"/>
            <w:vAlign w:val="center"/>
          </w:tcPr>
          <w:p w:rsidR="00F76582" w:rsidRPr="00A2318F" w:rsidRDefault="005905B0" w:rsidP="00376A2B">
            <w:pPr>
              <w:pStyle w:val="NoSpacing"/>
              <w:spacing w:after="0"/>
              <w:jc w:val="center"/>
            </w:pPr>
            <w:r>
              <w:t>21,709,814</w:t>
            </w:r>
          </w:p>
        </w:tc>
      </w:tr>
    </w:tbl>
    <w:p w:rsidR="005B55A9" w:rsidRDefault="005B55A9" w:rsidP="00376A2B">
      <w:pPr>
        <w:rPr>
          <w:rFonts w:eastAsiaTheme="majorEastAsia" w:cstheme="majorBidi"/>
          <w:szCs w:val="26"/>
        </w:rPr>
      </w:pPr>
      <w:r>
        <w:br w:type="page"/>
      </w:r>
    </w:p>
    <w:p w:rsidR="00F76582" w:rsidRPr="00AC4AD6" w:rsidRDefault="00F76582" w:rsidP="00376A2B">
      <w:pPr>
        <w:pStyle w:val="Heading3"/>
      </w:pPr>
      <w:bookmarkStart w:id="16" w:name="_Toc415727662"/>
      <w:r w:rsidRPr="00AC4AD6">
        <w:t>Expenses</w:t>
      </w:r>
      <w:bookmarkEnd w:id="16"/>
    </w:p>
    <w:tbl>
      <w:tblPr>
        <w:tblStyle w:val="TableGrid"/>
        <w:tblW w:w="9558" w:type="dxa"/>
        <w:tblLook w:val="04E0" w:firstRow="1" w:lastRow="1" w:firstColumn="1" w:lastColumn="0" w:noHBand="0" w:noVBand="1"/>
      </w:tblPr>
      <w:tblGrid>
        <w:gridCol w:w="2703"/>
        <w:gridCol w:w="1725"/>
        <w:gridCol w:w="1754"/>
        <w:gridCol w:w="1756"/>
        <w:gridCol w:w="1620"/>
      </w:tblGrid>
      <w:tr w:rsidR="00F76582" w:rsidRPr="00A2318F" w:rsidTr="00130613">
        <w:trPr>
          <w:trHeight w:val="737"/>
          <w:tblHeader/>
        </w:trPr>
        <w:tc>
          <w:tcPr>
            <w:tcW w:w="2703" w:type="dxa"/>
          </w:tcPr>
          <w:p w:rsidR="00F76582" w:rsidRPr="00130613" w:rsidRDefault="00F76582" w:rsidP="00130613">
            <w:pPr>
              <w:pStyle w:val="NoSpacing"/>
              <w:spacing w:after="0"/>
              <w:rPr>
                <w:b/>
              </w:rPr>
            </w:pPr>
          </w:p>
        </w:tc>
        <w:tc>
          <w:tcPr>
            <w:tcW w:w="1725" w:type="dxa"/>
            <w:vAlign w:val="bottom"/>
          </w:tcPr>
          <w:p w:rsidR="00F76582" w:rsidRPr="00130613" w:rsidRDefault="00F76582" w:rsidP="00130613">
            <w:pPr>
              <w:pStyle w:val="NoSpacing"/>
              <w:spacing w:after="0"/>
              <w:jc w:val="center"/>
              <w:rPr>
                <w:b/>
              </w:rPr>
            </w:pPr>
            <w:r w:rsidRPr="00130613">
              <w:rPr>
                <w:b/>
              </w:rPr>
              <w:t>Unrestricted</w:t>
            </w:r>
          </w:p>
        </w:tc>
        <w:tc>
          <w:tcPr>
            <w:tcW w:w="1754" w:type="dxa"/>
            <w:vAlign w:val="bottom"/>
          </w:tcPr>
          <w:p w:rsidR="00F76582" w:rsidRPr="00130613" w:rsidRDefault="00F76582" w:rsidP="00130613">
            <w:pPr>
              <w:pStyle w:val="NoSpacing"/>
              <w:spacing w:after="0"/>
              <w:jc w:val="center"/>
              <w:rPr>
                <w:b/>
              </w:rPr>
            </w:pPr>
            <w:r w:rsidRPr="00130613">
              <w:rPr>
                <w:b/>
              </w:rPr>
              <w:t>Temporarily Restricted</w:t>
            </w:r>
          </w:p>
        </w:tc>
        <w:tc>
          <w:tcPr>
            <w:tcW w:w="1756" w:type="dxa"/>
            <w:vAlign w:val="bottom"/>
          </w:tcPr>
          <w:p w:rsidR="00F76582" w:rsidRPr="00130613" w:rsidRDefault="00F76582" w:rsidP="00130613">
            <w:pPr>
              <w:pStyle w:val="NoSpacing"/>
              <w:spacing w:after="0"/>
              <w:jc w:val="center"/>
              <w:rPr>
                <w:b/>
              </w:rPr>
            </w:pPr>
            <w:r w:rsidRPr="00130613">
              <w:rPr>
                <w:b/>
              </w:rPr>
              <w:t>Permanently Restricted</w:t>
            </w:r>
          </w:p>
        </w:tc>
        <w:tc>
          <w:tcPr>
            <w:tcW w:w="1620" w:type="dxa"/>
            <w:vAlign w:val="bottom"/>
          </w:tcPr>
          <w:p w:rsidR="00F76582" w:rsidRPr="00130613" w:rsidRDefault="00F76582" w:rsidP="00130613">
            <w:pPr>
              <w:pStyle w:val="NoSpacing"/>
              <w:spacing w:after="0"/>
              <w:jc w:val="center"/>
              <w:rPr>
                <w:b/>
              </w:rPr>
            </w:pPr>
            <w:r w:rsidRPr="00130613">
              <w:rPr>
                <w:b/>
              </w:rPr>
              <w:t>Total</w:t>
            </w:r>
          </w:p>
        </w:tc>
      </w:tr>
      <w:tr w:rsidR="00F76582" w:rsidRPr="00A2318F" w:rsidTr="00EB3E4E">
        <w:tc>
          <w:tcPr>
            <w:tcW w:w="2703" w:type="dxa"/>
            <w:vAlign w:val="center"/>
          </w:tcPr>
          <w:p w:rsidR="00EB3E4E" w:rsidRDefault="00EB3E4E" w:rsidP="00EB3E4E">
            <w:pPr>
              <w:pStyle w:val="NoSpacing"/>
              <w:spacing w:after="0"/>
            </w:pPr>
            <w:r>
              <w:t>Program services:</w:t>
            </w:r>
          </w:p>
          <w:p w:rsidR="00F76582" w:rsidRPr="00A2318F" w:rsidRDefault="00F76582" w:rsidP="00EB3E4E">
            <w:pPr>
              <w:pStyle w:val="NoSpacing"/>
              <w:spacing w:after="0"/>
            </w:pPr>
            <w:r w:rsidRPr="00A2318F">
              <w:t>Blindness integration</w:t>
            </w:r>
          </w:p>
        </w:tc>
        <w:tc>
          <w:tcPr>
            <w:tcW w:w="1725" w:type="dxa"/>
            <w:vAlign w:val="center"/>
          </w:tcPr>
          <w:p w:rsidR="00F76582" w:rsidRPr="00A2318F" w:rsidRDefault="005905B0" w:rsidP="00EB3E4E">
            <w:pPr>
              <w:pStyle w:val="NoSpacing"/>
              <w:spacing w:after="0"/>
              <w:jc w:val="center"/>
            </w:pPr>
            <w:r>
              <w:t>8,347,811</w:t>
            </w:r>
          </w:p>
        </w:tc>
        <w:tc>
          <w:tcPr>
            <w:tcW w:w="1754" w:type="dxa"/>
            <w:vAlign w:val="center"/>
          </w:tcPr>
          <w:p w:rsidR="00F76582" w:rsidRPr="00A2318F" w:rsidRDefault="00A2318F" w:rsidP="00EB3E4E">
            <w:pPr>
              <w:pStyle w:val="NoSpacing"/>
              <w:spacing w:after="0"/>
              <w:jc w:val="center"/>
            </w:pPr>
            <w:r w:rsidRPr="00A2318F">
              <w:t>--</w:t>
            </w:r>
          </w:p>
        </w:tc>
        <w:tc>
          <w:tcPr>
            <w:tcW w:w="1756" w:type="dxa"/>
            <w:vAlign w:val="center"/>
          </w:tcPr>
          <w:p w:rsidR="00F76582" w:rsidRPr="00A2318F" w:rsidRDefault="00A2318F" w:rsidP="00EB3E4E">
            <w:pPr>
              <w:pStyle w:val="NoSpacing"/>
              <w:spacing w:after="0"/>
              <w:jc w:val="center"/>
            </w:pPr>
            <w:r w:rsidRPr="00A2318F">
              <w:t>--</w:t>
            </w:r>
          </w:p>
        </w:tc>
        <w:tc>
          <w:tcPr>
            <w:tcW w:w="1620" w:type="dxa"/>
            <w:vAlign w:val="center"/>
          </w:tcPr>
          <w:p w:rsidR="00F76582" w:rsidRPr="00A2318F" w:rsidRDefault="005905B0" w:rsidP="00EB3E4E">
            <w:pPr>
              <w:pStyle w:val="NoSpacing"/>
              <w:spacing w:after="0"/>
              <w:jc w:val="center"/>
            </w:pPr>
            <w:r>
              <w:t>8,347,811</w:t>
            </w:r>
          </w:p>
        </w:tc>
      </w:tr>
      <w:tr w:rsidR="00F76582" w:rsidRPr="00A2318F" w:rsidTr="00EB3E4E">
        <w:tc>
          <w:tcPr>
            <w:tcW w:w="2703" w:type="dxa"/>
            <w:vAlign w:val="center"/>
          </w:tcPr>
          <w:p w:rsidR="00EB3E4E" w:rsidRDefault="00EB3E4E" w:rsidP="00EB3E4E">
            <w:pPr>
              <w:pStyle w:val="NoSpacing"/>
              <w:spacing w:after="0"/>
            </w:pPr>
            <w:r>
              <w:t>Program services:</w:t>
            </w:r>
          </w:p>
          <w:p w:rsidR="00F76582" w:rsidRPr="00A2318F" w:rsidRDefault="00A2318F" w:rsidP="00EB3E4E">
            <w:pPr>
              <w:pStyle w:val="NoSpacing"/>
              <w:spacing w:after="0"/>
            </w:pPr>
            <w:r w:rsidRPr="00A2318F">
              <w:t>Civil r</w:t>
            </w:r>
            <w:r w:rsidR="00F76582" w:rsidRPr="00A2318F">
              <w:t>ights, advocacy and self-organization</w:t>
            </w:r>
          </w:p>
        </w:tc>
        <w:tc>
          <w:tcPr>
            <w:tcW w:w="1725" w:type="dxa"/>
            <w:vAlign w:val="center"/>
          </w:tcPr>
          <w:p w:rsidR="00F76582" w:rsidRPr="00A2318F" w:rsidRDefault="005905B0" w:rsidP="00EB3E4E">
            <w:pPr>
              <w:pStyle w:val="NoSpacing"/>
              <w:spacing w:after="0"/>
              <w:jc w:val="center"/>
            </w:pPr>
            <w:r>
              <w:t>5,969,380</w:t>
            </w:r>
          </w:p>
        </w:tc>
        <w:tc>
          <w:tcPr>
            <w:tcW w:w="1754" w:type="dxa"/>
            <w:vAlign w:val="center"/>
          </w:tcPr>
          <w:p w:rsidR="00F76582" w:rsidRPr="00A2318F" w:rsidRDefault="00A2318F" w:rsidP="00EB3E4E">
            <w:pPr>
              <w:pStyle w:val="NoSpacing"/>
              <w:spacing w:after="0"/>
              <w:jc w:val="center"/>
            </w:pPr>
            <w:r>
              <w:t>--</w:t>
            </w:r>
          </w:p>
        </w:tc>
        <w:tc>
          <w:tcPr>
            <w:tcW w:w="1756" w:type="dxa"/>
            <w:vAlign w:val="center"/>
          </w:tcPr>
          <w:p w:rsidR="00F76582" w:rsidRPr="00A2318F" w:rsidRDefault="00A2318F" w:rsidP="00EB3E4E">
            <w:pPr>
              <w:pStyle w:val="NoSpacing"/>
              <w:spacing w:after="0"/>
              <w:jc w:val="center"/>
            </w:pPr>
            <w:r>
              <w:t>--</w:t>
            </w:r>
          </w:p>
        </w:tc>
        <w:tc>
          <w:tcPr>
            <w:tcW w:w="1620" w:type="dxa"/>
            <w:vAlign w:val="center"/>
          </w:tcPr>
          <w:p w:rsidR="00F76582" w:rsidRPr="00A2318F" w:rsidRDefault="005905B0" w:rsidP="00EB3E4E">
            <w:pPr>
              <w:pStyle w:val="NoSpacing"/>
              <w:spacing w:after="0"/>
              <w:jc w:val="center"/>
            </w:pPr>
            <w:r>
              <w:t>5,969,380</w:t>
            </w:r>
          </w:p>
        </w:tc>
      </w:tr>
      <w:tr w:rsidR="005905B0" w:rsidRPr="00A2318F" w:rsidTr="00EB3E4E">
        <w:tc>
          <w:tcPr>
            <w:tcW w:w="2703" w:type="dxa"/>
            <w:vAlign w:val="center"/>
          </w:tcPr>
          <w:p w:rsidR="005905B0" w:rsidRDefault="005905B0" w:rsidP="00EB3E4E">
            <w:pPr>
              <w:pStyle w:val="NoSpacing"/>
              <w:spacing w:after="0"/>
            </w:pPr>
            <w:r>
              <w:t>Program services:</w:t>
            </w:r>
          </w:p>
          <w:p w:rsidR="005905B0" w:rsidRPr="00A2318F" w:rsidRDefault="005905B0" w:rsidP="00EB3E4E">
            <w:pPr>
              <w:pStyle w:val="NoSpacing"/>
              <w:spacing w:after="0"/>
            </w:pPr>
            <w:r w:rsidRPr="00A2318F">
              <w:t>Nonvisual access systems</w:t>
            </w:r>
          </w:p>
        </w:tc>
        <w:tc>
          <w:tcPr>
            <w:tcW w:w="1725" w:type="dxa"/>
            <w:vAlign w:val="center"/>
          </w:tcPr>
          <w:p w:rsidR="005905B0" w:rsidRPr="00A2318F" w:rsidRDefault="005905B0" w:rsidP="00EB3E4E">
            <w:pPr>
              <w:pStyle w:val="NoSpacing"/>
              <w:spacing w:after="0"/>
              <w:jc w:val="center"/>
            </w:pPr>
            <w:r>
              <w:t>5,177,613</w:t>
            </w:r>
          </w:p>
        </w:tc>
        <w:tc>
          <w:tcPr>
            <w:tcW w:w="1754" w:type="dxa"/>
            <w:vAlign w:val="center"/>
          </w:tcPr>
          <w:p w:rsidR="005905B0" w:rsidRPr="00A2318F" w:rsidRDefault="005905B0" w:rsidP="00EB3E4E">
            <w:pPr>
              <w:pStyle w:val="NoSpacing"/>
              <w:spacing w:after="0"/>
              <w:jc w:val="center"/>
            </w:pPr>
            <w:r>
              <w:t>--</w:t>
            </w:r>
          </w:p>
        </w:tc>
        <w:tc>
          <w:tcPr>
            <w:tcW w:w="1756" w:type="dxa"/>
            <w:vAlign w:val="center"/>
          </w:tcPr>
          <w:p w:rsidR="005905B0" w:rsidRPr="00A2318F" w:rsidRDefault="005905B0" w:rsidP="00EB3E4E">
            <w:pPr>
              <w:pStyle w:val="NoSpacing"/>
              <w:spacing w:after="0"/>
              <w:jc w:val="center"/>
            </w:pPr>
            <w:r>
              <w:t>--</w:t>
            </w:r>
          </w:p>
        </w:tc>
        <w:tc>
          <w:tcPr>
            <w:tcW w:w="1620" w:type="dxa"/>
            <w:vAlign w:val="center"/>
          </w:tcPr>
          <w:p w:rsidR="005905B0" w:rsidRPr="00A2318F" w:rsidRDefault="005905B0" w:rsidP="00F208E3">
            <w:pPr>
              <w:pStyle w:val="NoSpacing"/>
              <w:spacing w:after="0"/>
              <w:jc w:val="center"/>
            </w:pPr>
            <w:r>
              <w:t>5,177,613</w:t>
            </w:r>
          </w:p>
        </w:tc>
      </w:tr>
      <w:tr w:rsidR="005905B0" w:rsidRPr="00A2318F" w:rsidTr="00EB3E4E">
        <w:trPr>
          <w:trHeight w:val="702"/>
        </w:trPr>
        <w:tc>
          <w:tcPr>
            <w:tcW w:w="2703" w:type="dxa"/>
            <w:vAlign w:val="center"/>
          </w:tcPr>
          <w:p w:rsidR="005905B0" w:rsidRPr="00A2318F" w:rsidRDefault="005905B0" w:rsidP="00EB3E4E">
            <w:pPr>
              <w:pStyle w:val="NoSpacing"/>
              <w:spacing w:after="0"/>
            </w:pPr>
            <w:r w:rsidRPr="00A2318F">
              <w:t>Total program services</w:t>
            </w:r>
          </w:p>
        </w:tc>
        <w:tc>
          <w:tcPr>
            <w:tcW w:w="1725" w:type="dxa"/>
            <w:vAlign w:val="center"/>
          </w:tcPr>
          <w:p w:rsidR="005905B0" w:rsidRPr="00A2318F" w:rsidRDefault="005905B0" w:rsidP="00EB3E4E">
            <w:pPr>
              <w:pStyle w:val="NoSpacing"/>
              <w:spacing w:after="0"/>
              <w:jc w:val="center"/>
            </w:pPr>
            <w:r>
              <w:t>19,494,804</w:t>
            </w:r>
          </w:p>
        </w:tc>
        <w:tc>
          <w:tcPr>
            <w:tcW w:w="1754" w:type="dxa"/>
            <w:vAlign w:val="center"/>
          </w:tcPr>
          <w:p w:rsidR="005905B0" w:rsidRPr="00A2318F" w:rsidRDefault="005905B0" w:rsidP="00EB3E4E">
            <w:pPr>
              <w:pStyle w:val="NoSpacing"/>
              <w:spacing w:after="0"/>
              <w:jc w:val="center"/>
            </w:pPr>
            <w:r>
              <w:t>--</w:t>
            </w:r>
          </w:p>
        </w:tc>
        <w:tc>
          <w:tcPr>
            <w:tcW w:w="1756" w:type="dxa"/>
            <w:vAlign w:val="center"/>
          </w:tcPr>
          <w:p w:rsidR="005905B0" w:rsidRPr="00A2318F" w:rsidRDefault="005905B0" w:rsidP="00EB3E4E">
            <w:pPr>
              <w:pStyle w:val="NoSpacing"/>
              <w:spacing w:after="0"/>
              <w:jc w:val="center"/>
            </w:pPr>
            <w:r>
              <w:t>--</w:t>
            </w:r>
          </w:p>
        </w:tc>
        <w:tc>
          <w:tcPr>
            <w:tcW w:w="1620" w:type="dxa"/>
            <w:vAlign w:val="center"/>
          </w:tcPr>
          <w:p w:rsidR="005905B0" w:rsidRPr="00A2318F" w:rsidRDefault="005905B0" w:rsidP="00F208E3">
            <w:pPr>
              <w:pStyle w:val="NoSpacing"/>
              <w:spacing w:after="0"/>
              <w:jc w:val="center"/>
            </w:pPr>
            <w:r>
              <w:t>19,494,804</w:t>
            </w:r>
          </w:p>
        </w:tc>
      </w:tr>
      <w:tr w:rsidR="005905B0" w:rsidRPr="00A2318F" w:rsidTr="00EB3E4E">
        <w:trPr>
          <w:trHeight w:val="746"/>
        </w:trPr>
        <w:tc>
          <w:tcPr>
            <w:tcW w:w="2703" w:type="dxa"/>
            <w:vAlign w:val="center"/>
          </w:tcPr>
          <w:p w:rsidR="005905B0" w:rsidRDefault="005905B0" w:rsidP="00EB3E4E">
            <w:pPr>
              <w:pStyle w:val="NoSpacing"/>
              <w:spacing w:after="0"/>
            </w:pPr>
            <w:r>
              <w:t>Supporting services:</w:t>
            </w:r>
          </w:p>
          <w:p w:rsidR="005905B0" w:rsidRPr="00A2318F" w:rsidRDefault="005905B0" w:rsidP="00EB3E4E">
            <w:pPr>
              <w:pStyle w:val="NoSpacing"/>
              <w:spacing w:after="0"/>
            </w:pPr>
            <w:r w:rsidRPr="00A2318F">
              <w:t>Management and general</w:t>
            </w:r>
          </w:p>
        </w:tc>
        <w:tc>
          <w:tcPr>
            <w:tcW w:w="1725" w:type="dxa"/>
            <w:vAlign w:val="center"/>
          </w:tcPr>
          <w:p w:rsidR="005905B0" w:rsidRPr="00A2318F" w:rsidRDefault="005905B0" w:rsidP="00EB3E4E">
            <w:pPr>
              <w:pStyle w:val="NoSpacing"/>
              <w:spacing w:after="0"/>
              <w:jc w:val="center"/>
            </w:pPr>
            <w:r>
              <w:t>531,269</w:t>
            </w:r>
          </w:p>
        </w:tc>
        <w:tc>
          <w:tcPr>
            <w:tcW w:w="1754" w:type="dxa"/>
            <w:vAlign w:val="center"/>
          </w:tcPr>
          <w:p w:rsidR="005905B0" w:rsidRPr="00A2318F" w:rsidRDefault="005905B0" w:rsidP="00EB3E4E">
            <w:pPr>
              <w:pStyle w:val="NoSpacing"/>
              <w:spacing w:after="0"/>
              <w:jc w:val="center"/>
            </w:pPr>
            <w:r>
              <w:t>--</w:t>
            </w:r>
          </w:p>
        </w:tc>
        <w:tc>
          <w:tcPr>
            <w:tcW w:w="1756" w:type="dxa"/>
            <w:vAlign w:val="center"/>
          </w:tcPr>
          <w:p w:rsidR="005905B0" w:rsidRPr="00A2318F" w:rsidRDefault="005905B0" w:rsidP="00EB3E4E">
            <w:pPr>
              <w:pStyle w:val="NoSpacing"/>
              <w:spacing w:after="0"/>
              <w:jc w:val="center"/>
            </w:pPr>
            <w:r>
              <w:t>--</w:t>
            </w:r>
          </w:p>
        </w:tc>
        <w:tc>
          <w:tcPr>
            <w:tcW w:w="1620" w:type="dxa"/>
            <w:vAlign w:val="center"/>
          </w:tcPr>
          <w:p w:rsidR="005905B0" w:rsidRPr="00A2318F" w:rsidRDefault="005905B0" w:rsidP="00F208E3">
            <w:pPr>
              <w:pStyle w:val="NoSpacing"/>
              <w:spacing w:after="0"/>
              <w:jc w:val="center"/>
            </w:pPr>
            <w:r>
              <w:t>531,269</w:t>
            </w:r>
          </w:p>
        </w:tc>
      </w:tr>
      <w:tr w:rsidR="005905B0" w:rsidRPr="00A2318F" w:rsidTr="00EB3E4E">
        <w:tc>
          <w:tcPr>
            <w:tcW w:w="2703" w:type="dxa"/>
            <w:vAlign w:val="center"/>
          </w:tcPr>
          <w:p w:rsidR="005905B0" w:rsidRPr="00A2318F" w:rsidRDefault="005905B0" w:rsidP="00EB3E4E">
            <w:pPr>
              <w:pStyle w:val="NoSpacing"/>
              <w:spacing w:after="0"/>
            </w:pPr>
            <w:r>
              <w:t>Supporting services:</w:t>
            </w:r>
            <w:r>
              <w:br/>
            </w:r>
            <w:r w:rsidRPr="00A2318F">
              <w:t>Fundraising</w:t>
            </w:r>
          </w:p>
        </w:tc>
        <w:tc>
          <w:tcPr>
            <w:tcW w:w="1725" w:type="dxa"/>
            <w:vAlign w:val="center"/>
          </w:tcPr>
          <w:p w:rsidR="005905B0" w:rsidRPr="00A2318F" w:rsidRDefault="005905B0" w:rsidP="00EB3E4E">
            <w:pPr>
              <w:pStyle w:val="NoSpacing"/>
              <w:spacing w:after="0"/>
              <w:jc w:val="center"/>
            </w:pPr>
            <w:r>
              <w:t>1,332,531</w:t>
            </w:r>
          </w:p>
        </w:tc>
        <w:tc>
          <w:tcPr>
            <w:tcW w:w="1754" w:type="dxa"/>
            <w:vAlign w:val="center"/>
          </w:tcPr>
          <w:p w:rsidR="005905B0" w:rsidRPr="00A2318F" w:rsidRDefault="005905B0" w:rsidP="00EB3E4E">
            <w:pPr>
              <w:pStyle w:val="NoSpacing"/>
              <w:spacing w:after="0"/>
              <w:jc w:val="center"/>
            </w:pPr>
            <w:r>
              <w:t>--</w:t>
            </w:r>
          </w:p>
        </w:tc>
        <w:tc>
          <w:tcPr>
            <w:tcW w:w="1756" w:type="dxa"/>
            <w:vAlign w:val="center"/>
          </w:tcPr>
          <w:p w:rsidR="005905B0" w:rsidRPr="00A2318F" w:rsidRDefault="005905B0" w:rsidP="00EB3E4E">
            <w:pPr>
              <w:pStyle w:val="NoSpacing"/>
              <w:spacing w:after="0"/>
              <w:jc w:val="center"/>
            </w:pPr>
            <w:r>
              <w:t>--</w:t>
            </w:r>
          </w:p>
        </w:tc>
        <w:tc>
          <w:tcPr>
            <w:tcW w:w="1620" w:type="dxa"/>
            <w:vAlign w:val="center"/>
          </w:tcPr>
          <w:p w:rsidR="005905B0" w:rsidRPr="00A2318F" w:rsidRDefault="005905B0" w:rsidP="00F208E3">
            <w:pPr>
              <w:pStyle w:val="NoSpacing"/>
              <w:spacing w:after="0"/>
              <w:jc w:val="center"/>
            </w:pPr>
            <w:r>
              <w:t>1,332,531</w:t>
            </w:r>
          </w:p>
        </w:tc>
      </w:tr>
      <w:tr w:rsidR="005905B0" w:rsidRPr="00A2318F" w:rsidTr="00EB3E4E">
        <w:trPr>
          <w:trHeight w:val="765"/>
        </w:trPr>
        <w:tc>
          <w:tcPr>
            <w:tcW w:w="2703" w:type="dxa"/>
            <w:vAlign w:val="center"/>
          </w:tcPr>
          <w:p w:rsidR="005905B0" w:rsidRPr="00A2318F" w:rsidRDefault="005905B0" w:rsidP="00EB3E4E">
            <w:pPr>
              <w:pStyle w:val="NoSpacing"/>
              <w:spacing w:after="0"/>
            </w:pPr>
            <w:r w:rsidRPr="00A2318F">
              <w:t xml:space="preserve">Total supporting services </w:t>
            </w:r>
          </w:p>
        </w:tc>
        <w:tc>
          <w:tcPr>
            <w:tcW w:w="1725" w:type="dxa"/>
            <w:vAlign w:val="center"/>
          </w:tcPr>
          <w:p w:rsidR="005905B0" w:rsidRPr="00A2318F" w:rsidRDefault="005905B0" w:rsidP="00EB3E4E">
            <w:pPr>
              <w:pStyle w:val="NoSpacing"/>
              <w:spacing w:after="0"/>
              <w:jc w:val="center"/>
            </w:pPr>
            <w:r>
              <w:t>1,863,800</w:t>
            </w:r>
          </w:p>
        </w:tc>
        <w:tc>
          <w:tcPr>
            <w:tcW w:w="1754" w:type="dxa"/>
            <w:vAlign w:val="center"/>
          </w:tcPr>
          <w:p w:rsidR="005905B0" w:rsidRPr="00A2318F" w:rsidRDefault="005905B0" w:rsidP="00EB3E4E">
            <w:pPr>
              <w:pStyle w:val="NoSpacing"/>
              <w:spacing w:after="0"/>
              <w:jc w:val="center"/>
            </w:pPr>
            <w:r>
              <w:t>--</w:t>
            </w:r>
          </w:p>
        </w:tc>
        <w:tc>
          <w:tcPr>
            <w:tcW w:w="1756" w:type="dxa"/>
            <w:vAlign w:val="center"/>
          </w:tcPr>
          <w:p w:rsidR="005905B0" w:rsidRPr="00A2318F" w:rsidRDefault="005905B0" w:rsidP="00EB3E4E">
            <w:pPr>
              <w:pStyle w:val="NoSpacing"/>
              <w:spacing w:after="0"/>
              <w:jc w:val="center"/>
            </w:pPr>
            <w:r>
              <w:t>--</w:t>
            </w:r>
          </w:p>
        </w:tc>
        <w:tc>
          <w:tcPr>
            <w:tcW w:w="1620" w:type="dxa"/>
            <w:vAlign w:val="center"/>
          </w:tcPr>
          <w:p w:rsidR="005905B0" w:rsidRPr="00A2318F" w:rsidRDefault="005905B0" w:rsidP="00F208E3">
            <w:pPr>
              <w:pStyle w:val="NoSpacing"/>
              <w:spacing w:after="0"/>
              <w:jc w:val="center"/>
            </w:pPr>
            <w:r>
              <w:t>1,863,800</w:t>
            </w:r>
          </w:p>
        </w:tc>
      </w:tr>
      <w:tr w:rsidR="005905B0" w:rsidRPr="00A2318F" w:rsidTr="00EB3E4E">
        <w:trPr>
          <w:trHeight w:val="441"/>
        </w:trPr>
        <w:tc>
          <w:tcPr>
            <w:tcW w:w="2703" w:type="dxa"/>
            <w:vAlign w:val="center"/>
          </w:tcPr>
          <w:p w:rsidR="005905B0" w:rsidRPr="00A2318F" w:rsidRDefault="005905B0" w:rsidP="00EB3E4E">
            <w:pPr>
              <w:pStyle w:val="NoSpacing"/>
              <w:spacing w:after="0"/>
            </w:pPr>
            <w:r w:rsidRPr="00A2318F">
              <w:t>TOTAL EXPENSES</w:t>
            </w:r>
          </w:p>
        </w:tc>
        <w:tc>
          <w:tcPr>
            <w:tcW w:w="1725" w:type="dxa"/>
            <w:vAlign w:val="center"/>
          </w:tcPr>
          <w:p w:rsidR="005905B0" w:rsidRPr="00A2318F" w:rsidRDefault="005905B0" w:rsidP="00EB3E4E">
            <w:pPr>
              <w:pStyle w:val="NoSpacing"/>
              <w:spacing w:after="0"/>
              <w:jc w:val="center"/>
            </w:pPr>
            <w:r>
              <w:t>21,358,604</w:t>
            </w:r>
          </w:p>
        </w:tc>
        <w:tc>
          <w:tcPr>
            <w:tcW w:w="1754" w:type="dxa"/>
            <w:vAlign w:val="center"/>
          </w:tcPr>
          <w:p w:rsidR="005905B0" w:rsidRPr="00A2318F" w:rsidRDefault="005905B0" w:rsidP="00EB3E4E">
            <w:pPr>
              <w:pStyle w:val="NoSpacing"/>
              <w:spacing w:after="0"/>
              <w:jc w:val="center"/>
            </w:pPr>
            <w:r>
              <w:t>--</w:t>
            </w:r>
          </w:p>
        </w:tc>
        <w:tc>
          <w:tcPr>
            <w:tcW w:w="1756" w:type="dxa"/>
            <w:vAlign w:val="center"/>
          </w:tcPr>
          <w:p w:rsidR="005905B0" w:rsidRPr="00A2318F" w:rsidRDefault="005905B0" w:rsidP="00EB3E4E">
            <w:pPr>
              <w:pStyle w:val="NoSpacing"/>
              <w:spacing w:after="0"/>
              <w:jc w:val="center"/>
            </w:pPr>
            <w:r>
              <w:t>--</w:t>
            </w:r>
          </w:p>
        </w:tc>
        <w:tc>
          <w:tcPr>
            <w:tcW w:w="1620" w:type="dxa"/>
            <w:vAlign w:val="center"/>
          </w:tcPr>
          <w:p w:rsidR="005905B0" w:rsidRPr="00A2318F" w:rsidRDefault="005905B0" w:rsidP="00F208E3">
            <w:pPr>
              <w:pStyle w:val="NoSpacing"/>
              <w:spacing w:after="0"/>
              <w:jc w:val="center"/>
            </w:pPr>
            <w:r>
              <w:t>21,358,604</w:t>
            </w:r>
          </w:p>
        </w:tc>
      </w:tr>
      <w:tr w:rsidR="00F76582" w:rsidRPr="00A2318F" w:rsidTr="00EB3E4E">
        <w:trPr>
          <w:trHeight w:val="720"/>
        </w:trPr>
        <w:tc>
          <w:tcPr>
            <w:tcW w:w="2703" w:type="dxa"/>
            <w:vAlign w:val="center"/>
          </w:tcPr>
          <w:p w:rsidR="00F76582" w:rsidRPr="00A2318F" w:rsidRDefault="00F76582" w:rsidP="00EB3E4E">
            <w:pPr>
              <w:pStyle w:val="NoSpacing"/>
              <w:spacing w:after="0"/>
            </w:pPr>
            <w:r w:rsidRPr="00A2318F">
              <w:t>CHANGES IN NET ASSETS</w:t>
            </w:r>
          </w:p>
        </w:tc>
        <w:tc>
          <w:tcPr>
            <w:tcW w:w="1725" w:type="dxa"/>
            <w:vAlign w:val="center"/>
          </w:tcPr>
          <w:p w:rsidR="00F76582" w:rsidRPr="00A2318F" w:rsidRDefault="005905B0" w:rsidP="00EB3E4E">
            <w:pPr>
              <w:pStyle w:val="NoSpacing"/>
              <w:spacing w:after="0"/>
              <w:jc w:val="center"/>
            </w:pPr>
            <w:r>
              <w:t>(63,383</w:t>
            </w:r>
            <w:r w:rsidR="007859C8">
              <w:t>)</w:t>
            </w:r>
          </w:p>
        </w:tc>
        <w:tc>
          <w:tcPr>
            <w:tcW w:w="1754" w:type="dxa"/>
            <w:vAlign w:val="center"/>
          </w:tcPr>
          <w:p w:rsidR="00F76582" w:rsidRPr="00A2318F" w:rsidRDefault="005905B0" w:rsidP="00EB3E4E">
            <w:pPr>
              <w:pStyle w:val="NoSpacing"/>
              <w:spacing w:after="0"/>
              <w:jc w:val="center"/>
            </w:pPr>
            <w:r>
              <w:t>414,593</w:t>
            </w:r>
          </w:p>
        </w:tc>
        <w:tc>
          <w:tcPr>
            <w:tcW w:w="1756" w:type="dxa"/>
            <w:vAlign w:val="center"/>
          </w:tcPr>
          <w:p w:rsidR="00F76582" w:rsidRPr="00A2318F" w:rsidRDefault="007859C8" w:rsidP="00EB3E4E">
            <w:pPr>
              <w:pStyle w:val="NoSpacing"/>
              <w:spacing w:after="0"/>
              <w:jc w:val="center"/>
            </w:pPr>
            <w:r>
              <w:t>--</w:t>
            </w:r>
          </w:p>
        </w:tc>
        <w:tc>
          <w:tcPr>
            <w:tcW w:w="1620" w:type="dxa"/>
            <w:vAlign w:val="center"/>
          </w:tcPr>
          <w:p w:rsidR="00F76582" w:rsidRPr="00A2318F" w:rsidRDefault="005905B0" w:rsidP="00EB3E4E">
            <w:pPr>
              <w:pStyle w:val="NoSpacing"/>
              <w:spacing w:after="0"/>
              <w:jc w:val="center"/>
            </w:pPr>
            <w:r>
              <w:t>351,210</w:t>
            </w:r>
          </w:p>
        </w:tc>
      </w:tr>
    </w:tbl>
    <w:p w:rsidR="00F76582" w:rsidRDefault="00F76582" w:rsidP="00285FD8">
      <w:pPr>
        <w:pStyle w:val="NoSpacing"/>
      </w:pPr>
    </w:p>
    <w:tbl>
      <w:tblPr>
        <w:tblStyle w:val="TableGrid"/>
        <w:tblW w:w="9558" w:type="dxa"/>
        <w:tblLook w:val="04E0" w:firstRow="1" w:lastRow="1" w:firstColumn="1" w:lastColumn="0" w:noHBand="0" w:noVBand="1"/>
      </w:tblPr>
      <w:tblGrid>
        <w:gridCol w:w="2703"/>
        <w:gridCol w:w="1725"/>
        <w:gridCol w:w="1754"/>
        <w:gridCol w:w="1756"/>
        <w:gridCol w:w="1620"/>
      </w:tblGrid>
      <w:tr w:rsidR="00036532" w:rsidRPr="00A2318F" w:rsidTr="00434297">
        <w:trPr>
          <w:trHeight w:val="1115"/>
        </w:trPr>
        <w:tc>
          <w:tcPr>
            <w:tcW w:w="2703" w:type="dxa"/>
            <w:vAlign w:val="center"/>
          </w:tcPr>
          <w:p w:rsidR="00036532" w:rsidRPr="00A2318F" w:rsidRDefault="00036532" w:rsidP="00434297">
            <w:pPr>
              <w:pStyle w:val="NoSpacing"/>
              <w:spacing w:after="0"/>
            </w:pPr>
            <w:r w:rsidRPr="00A2318F">
              <w:t>NET ASSETS – BEGINNING OF YEAR</w:t>
            </w:r>
          </w:p>
        </w:tc>
        <w:tc>
          <w:tcPr>
            <w:tcW w:w="1725" w:type="dxa"/>
            <w:vAlign w:val="center"/>
          </w:tcPr>
          <w:p w:rsidR="00036532" w:rsidRPr="00A2318F" w:rsidRDefault="005905B0" w:rsidP="00434297">
            <w:pPr>
              <w:pStyle w:val="NoSpacing"/>
              <w:spacing w:after="0"/>
              <w:jc w:val="center"/>
            </w:pPr>
            <w:r>
              <w:t>19,574,907</w:t>
            </w:r>
          </w:p>
        </w:tc>
        <w:tc>
          <w:tcPr>
            <w:tcW w:w="1754" w:type="dxa"/>
            <w:vAlign w:val="center"/>
          </w:tcPr>
          <w:p w:rsidR="00036532" w:rsidRPr="00A2318F" w:rsidRDefault="005905B0" w:rsidP="00434297">
            <w:pPr>
              <w:pStyle w:val="NoSpacing"/>
              <w:spacing w:after="0"/>
              <w:jc w:val="center"/>
            </w:pPr>
            <w:r>
              <w:t>1,862,708</w:t>
            </w:r>
          </w:p>
        </w:tc>
        <w:tc>
          <w:tcPr>
            <w:tcW w:w="1756" w:type="dxa"/>
            <w:vAlign w:val="center"/>
          </w:tcPr>
          <w:p w:rsidR="00036532" w:rsidRPr="00A2318F" w:rsidRDefault="00036532" w:rsidP="00434297">
            <w:pPr>
              <w:pStyle w:val="NoSpacing"/>
              <w:spacing w:after="0"/>
              <w:jc w:val="center"/>
            </w:pPr>
            <w:r>
              <w:t>237,468</w:t>
            </w:r>
          </w:p>
        </w:tc>
        <w:tc>
          <w:tcPr>
            <w:tcW w:w="1620" w:type="dxa"/>
            <w:vAlign w:val="center"/>
          </w:tcPr>
          <w:p w:rsidR="00036532" w:rsidRPr="00A2318F" w:rsidRDefault="00835024" w:rsidP="00434297">
            <w:pPr>
              <w:pStyle w:val="NoSpacing"/>
              <w:spacing w:after="0"/>
              <w:jc w:val="center"/>
            </w:pPr>
            <w:r>
              <w:t>21,675,083</w:t>
            </w:r>
          </w:p>
        </w:tc>
      </w:tr>
      <w:tr w:rsidR="00036532" w:rsidRPr="00A2318F" w:rsidTr="00434297">
        <w:trPr>
          <w:trHeight w:val="791"/>
        </w:trPr>
        <w:tc>
          <w:tcPr>
            <w:tcW w:w="2703" w:type="dxa"/>
            <w:vAlign w:val="center"/>
          </w:tcPr>
          <w:p w:rsidR="00036532" w:rsidRPr="00A2318F" w:rsidRDefault="00036532" w:rsidP="00434297">
            <w:pPr>
              <w:pStyle w:val="NoSpacing"/>
              <w:spacing w:after="0"/>
            </w:pPr>
            <w:r w:rsidRPr="00A2318F">
              <w:t>NET ASSETS – END OF YEAR</w:t>
            </w:r>
          </w:p>
        </w:tc>
        <w:tc>
          <w:tcPr>
            <w:tcW w:w="1725" w:type="dxa"/>
            <w:vAlign w:val="center"/>
          </w:tcPr>
          <w:p w:rsidR="00036532" w:rsidRPr="00A2318F" w:rsidRDefault="00835024" w:rsidP="00434297">
            <w:pPr>
              <w:pStyle w:val="NoSpacing"/>
              <w:spacing w:after="0"/>
              <w:jc w:val="center"/>
            </w:pPr>
            <w:r>
              <w:t>$19,511,524</w:t>
            </w:r>
          </w:p>
        </w:tc>
        <w:tc>
          <w:tcPr>
            <w:tcW w:w="1754" w:type="dxa"/>
            <w:vAlign w:val="center"/>
          </w:tcPr>
          <w:p w:rsidR="00036532" w:rsidRPr="00A2318F" w:rsidRDefault="00835024" w:rsidP="00434297">
            <w:pPr>
              <w:pStyle w:val="NoSpacing"/>
              <w:spacing w:after="0"/>
              <w:jc w:val="center"/>
            </w:pPr>
            <w:r>
              <w:t>$2,277,301</w:t>
            </w:r>
          </w:p>
        </w:tc>
        <w:tc>
          <w:tcPr>
            <w:tcW w:w="1756" w:type="dxa"/>
            <w:vAlign w:val="center"/>
          </w:tcPr>
          <w:p w:rsidR="00036532" w:rsidRPr="00A2318F" w:rsidRDefault="00835024" w:rsidP="00434297">
            <w:pPr>
              <w:pStyle w:val="NoSpacing"/>
              <w:spacing w:after="0"/>
              <w:jc w:val="center"/>
            </w:pPr>
            <w:r>
              <w:t>$237,468</w:t>
            </w:r>
          </w:p>
        </w:tc>
        <w:tc>
          <w:tcPr>
            <w:tcW w:w="1620" w:type="dxa"/>
            <w:vAlign w:val="center"/>
          </w:tcPr>
          <w:p w:rsidR="00036532" w:rsidRPr="00A2318F" w:rsidRDefault="00835024" w:rsidP="00434297">
            <w:pPr>
              <w:pStyle w:val="NoSpacing"/>
              <w:spacing w:after="0"/>
              <w:jc w:val="center"/>
            </w:pPr>
            <w:r>
              <w:t>$22,026,293</w:t>
            </w:r>
          </w:p>
        </w:tc>
      </w:tr>
    </w:tbl>
    <w:p w:rsidR="007859C8" w:rsidRDefault="007859C8" w:rsidP="00285FD8">
      <w:pPr>
        <w:pStyle w:val="NoSpacing"/>
      </w:pPr>
    </w:p>
    <w:p w:rsidR="007859C8" w:rsidRDefault="007859C8">
      <w:pPr>
        <w:spacing w:after="200" w:line="276" w:lineRule="auto"/>
      </w:pPr>
      <w:r>
        <w:br w:type="page"/>
      </w:r>
    </w:p>
    <w:p w:rsidR="007859C8" w:rsidRDefault="007859C8" w:rsidP="00285FD8">
      <w:pPr>
        <w:pStyle w:val="NoSpacing"/>
        <w:sectPr w:rsidR="007859C8" w:rsidSect="00EB3E4E">
          <w:footerReference w:type="default" r:id="rId11"/>
          <w:pgSz w:w="12240" w:h="15840"/>
          <w:pgMar w:top="1080" w:right="1440" w:bottom="1440" w:left="1440" w:header="720" w:footer="720" w:gutter="0"/>
          <w:cols w:space="720"/>
          <w:docGrid w:linePitch="381"/>
        </w:sectPr>
      </w:pPr>
    </w:p>
    <w:p w:rsidR="007859C8" w:rsidRPr="00AC4AD6" w:rsidRDefault="007859C8" w:rsidP="00376A2B">
      <w:pPr>
        <w:pStyle w:val="Heading2"/>
      </w:pPr>
      <w:bookmarkStart w:id="17" w:name="_Toc415727663"/>
      <w:r w:rsidRPr="00AC4AD6">
        <w:t>The National Federation of the Blind</w:t>
      </w:r>
      <w:bookmarkStart w:id="18" w:name="_Toc415727664"/>
      <w:bookmarkEnd w:id="17"/>
      <w:r w:rsidR="00BB3056">
        <w:br/>
      </w:r>
      <w:r w:rsidRPr="00AC4AD6">
        <w:t>T/A Blind Federation of America</w:t>
      </w:r>
      <w:bookmarkStart w:id="19" w:name="_Toc415727665"/>
      <w:bookmarkEnd w:id="18"/>
      <w:r w:rsidR="00BB3056">
        <w:br/>
      </w:r>
      <w:r w:rsidR="00835024">
        <w:t xml:space="preserve">Consolidated </w:t>
      </w:r>
      <w:r w:rsidRPr="00AC4AD6">
        <w:t>Statements of Functional Expenses</w:t>
      </w:r>
      <w:bookmarkStart w:id="20" w:name="_Toc415727666"/>
      <w:bookmarkEnd w:id="19"/>
      <w:r w:rsidR="00BB3056">
        <w:br/>
      </w:r>
      <w:r w:rsidRPr="00AC4AD6">
        <w:t>For the Year Ended December 31, 20</w:t>
      </w:r>
      <w:r>
        <w:t>1</w:t>
      </w:r>
      <w:bookmarkEnd w:id="20"/>
      <w:r w:rsidR="00835024">
        <w:t>5</w:t>
      </w:r>
    </w:p>
    <w:p w:rsidR="007859C8" w:rsidRPr="00AC4AD6" w:rsidRDefault="00EB3E4E" w:rsidP="00285FD8">
      <w:pPr>
        <w:pStyle w:val="NoSpacing"/>
      </w:pPr>
      <w:r>
        <w:t xml:space="preserve"> </w:t>
      </w:r>
    </w:p>
    <w:tbl>
      <w:tblPr>
        <w:tblStyle w:val="TableGrid"/>
        <w:tblW w:w="15170" w:type="dxa"/>
        <w:jc w:val="center"/>
        <w:tblLayout w:type="fixed"/>
        <w:tblCellMar>
          <w:left w:w="115" w:type="dxa"/>
          <w:right w:w="115" w:type="dxa"/>
        </w:tblCellMar>
        <w:tblLook w:val="06E0" w:firstRow="1" w:lastRow="1" w:firstColumn="1" w:lastColumn="0" w:noHBand="1" w:noVBand="1"/>
      </w:tblPr>
      <w:tblGrid>
        <w:gridCol w:w="2905"/>
        <w:gridCol w:w="1440"/>
        <w:gridCol w:w="1800"/>
        <w:gridCol w:w="1440"/>
        <w:gridCol w:w="1440"/>
        <w:gridCol w:w="1655"/>
        <w:gridCol w:w="1530"/>
        <w:gridCol w:w="1530"/>
        <w:gridCol w:w="1430"/>
      </w:tblGrid>
      <w:tr w:rsidR="007859C8" w:rsidRPr="0038283C" w:rsidTr="00FF439F">
        <w:trPr>
          <w:trHeight w:val="1475"/>
          <w:tblHeader/>
          <w:jc w:val="center"/>
        </w:trPr>
        <w:tc>
          <w:tcPr>
            <w:tcW w:w="2905" w:type="dxa"/>
            <w:vAlign w:val="bottom"/>
          </w:tcPr>
          <w:p w:rsidR="007859C8" w:rsidRPr="000259AD" w:rsidRDefault="007859C8" w:rsidP="00EB3E4E">
            <w:pPr>
              <w:pStyle w:val="NoSpacing"/>
              <w:spacing w:after="0"/>
              <w:rPr>
                <w:sz w:val="24"/>
                <w:szCs w:val="24"/>
              </w:rPr>
            </w:pPr>
          </w:p>
        </w:tc>
        <w:tc>
          <w:tcPr>
            <w:tcW w:w="1440" w:type="dxa"/>
            <w:vAlign w:val="bottom"/>
          </w:tcPr>
          <w:p w:rsidR="007859C8" w:rsidRPr="00CF5992" w:rsidRDefault="007859C8" w:rsidP="005F16AA">
            <w:pPr>
              <w:pStyle w:val="NoSpacing"/>
              <w:spacing w:after="0"/>
              <w:jc w:val="center"/>
              <w:rPr>
                <w:b/>
                <w:sz w:val="24"/>
                <w:szCs w:val="24"/>
              </w:rPr>
            </w:pPr>
            <w:r w:rsidRPr="00CF5992">
              <w:rPr>
                <w:b/>
                <w:sz w:val="24"/>
                <w:szCs w:val="24"/>
              </w:rPr>
              <w:t>Program Services</w:t>
            </w:r>
            <w:r w:rsidR="00284AE3" w:rsidRPr="00CF5992">
              <w:rPr>
                <w:b/>
                <w:sz w:val="24"/>
                <w:szCs w:val="24"/>
              </w:rPr>
              <w:t>:</w:t>
            </w:r>
            <w:r w:rsidRPr="00CF5992">
              <w:rPr>
                <w:b/>
                <w:sz w:val="24"/>
                <w:szCs w:val="24"/>
              </w:rPr>
              <w:t xml:space="preserve"> Blindness Integration</w:t>
            </w:r>
          </w:p>
        </w:tc>
        <w:tc>
          <w:tcPr>
            <w:tcW w:w="1800" w:type="dxa"/>
            <w:vAlign w:val="bottom"/>
          </w:tcPr>
          <w:p w:rsidR="00CF5992" w:rsidRDefault="00CF5992" w:rsidP="005F16AA">
            <w:pPr>
              <w:pStyle w:val="NoSpacing"/>
              <w:spacing w:after="0"/>
              <w:jc w:val="center"/>
              <w:rPr>
                <w:b/>
                <w:sz w:val="24"/>
                <w:szCs w:val="24"/>
              </w:rPr>
            </w:pPr>
            <w:r>
              <w:rPr>
                <w:b/>
                <w:sz w:val="24"/>
                <w:szCs w:val="24"/>
              </w:rPr>
              <w:t>Program Services:</w:t>
            </w:r>
          </w:p>
          <w:p w:rsidR="007859C8" w:rsidRPr="00CF5992" w:rsidRDefault="00284AE3" w:rsidP="005F16AA">
            <w:pPr>
              <w:pStyle w:val="NoSpacing"/>
              <w:spacing w:after="0"/>
              <w:jc w:val="center"/>
              <w:rPr>
                <w:b/>
                <w:sz w:val="24"/>
                <w:szCs w:val="24"/>
              </w:rPr>
            </w:pPr>
            <w:r w:rsidRPr="00CF5992">
              <w:rPr>
                <w:b/>
                <w:sz w:val="24"/>
                <w:szCs w:val="24"/>
              </w:rPr>
              <w:t>Civil Rights, Advocacy and Self-Organization</w:t>
            </w:r>
          </w:p>
        </w:tc>
        <w:tc>
          <w:tcPr>
            <w:tcW w:w="1440" w:type="dxa"/>
            <w:vAlign w:val="bottom"/>
          </w:tcPr>
          <w:p w:rsidR="007859C8" w:rsidRPr="00CF5992" w:rsidRDefault="00284AE3" w:rsidP="005F16AA">
            <w:pPr>
              <w:pStyle w:val="NoSpacing"/>
              <w:spacing w:after="0"/>
              <w:jc w:val="center"/>
              <w:rPr>
                <w:b/>
                <w:sz w:val="24"/>
                <w:szCs w:val="24"/>
              </w:rPr>
            </w:pPr>
            <w:r w:rsidRPr="00CF5992">
              <w:rPr>
                <w:b/>
                <w:sz w:val="24"/>
                <w:szCs w:val="24"/>
              </w:rPr>
              <w:t>Program Services: Nonvisual Access Systems</w:t>
            </w:r>
          </w:p>
        </w:tc>
        <w:tc>
          <w:tcPr>
            <w:tcW w:w="1440" w:type="dxa"/>
            <w:vAlign w:val="bottom"/>
          </w:tcPr>
          <w:p w:rsidR="007859C8" w:rsidRPr="00CF5992" w:rsidRDefault="00284AE3" w:rsidP="005F16AA">
            <w:pPr>
              <w:pStyle w:val="NoSpacing"/>
              <w:spacing w:after="0"/>
              <w:jc w:val="center"/>
              <w:rPr>
                <w:b/>
                <w:sz w:val="24"/>
                <w:szCs w:val="24"/>
              </w:rPr>
            </w:pPr>
            <w:r w:rsidRPr="00CF5992">
              <w:rPr>
                <w:b/>
                <w:sz w:val="24"/>
                <w:szCs w:val="24"/>
              </w:rPr>
              <w:t xml:space="preserve">Program Services: </w:t>
            </w:r>
            <w:r w:rsidR="007859C8" w:rsidRPr="00CF5992">
              <w:rPr>
                <w:b/>
                <w:sz w:val="24"/>
                <w:szCs w:val="24"/>
              </w:rPr>
              <w:t>Total</w:t>
            </w:r>
          </w:p>
        </w:tc>
        <w:tc>
          <w:tcPr>
            <w:tcW w:w="1655" w:type="dxa"/>
            <w:vAlign w:val="bottom"/>
          </w:tcPr>
          <w:p w:rsidR="007859C8" w:rsidRPr="00CF5992" w:rsidRDefault="007859C8" w:rsidP="005F16AA">
            <w:pPr>
              <w:pStyle w:val="NoSpacing"/>
              <w:spacing w:after="0"/>
              <w:jc w:val="center"/>
              <w:rPr>
                <w:b/>
                <w:sz w:val="24"/>
                <w:szCs w:val="24"/>
              </w:rPr>
            </w:pPr>
            <w:r w:rsidRPr="00CF5992">
              <w:rPr>
                <w:b/>
                <w:sz w:val="24"/>
                <w:szCs w:val="24"/>
              </w:rPr>
              <w:t>Supporting Services</w:t>
            </w:r>
            <w:r w:rsidR="00284AE3" w:rsidRPr="00CF5992">
              <w:rPr>
                <w:b/>
                <w:sz w:val="24"/>
                <w:szCs w:val="24"/>
              </w:rPr>
              <w:t xml:space="preserve">: </w:t>
            </w:r>
            <w:r w:rsidRPr="00CF5992">
              <w:rPr>
                <w:b/>
                <w:sz w:val="24"/>
                <w:szCs w:val="24"/>
              </w:rPr>
              <w:t>Management and General</w:t>
            </w:r>
          </w:p>
        </w:tc>
        <w:tc>
          <w:tcPr>
            <w:tcW w:w="1530" w:type="dxa"/>
            <w:vAlign w:val="bottom"/>
          </w:tcPr>
          <w:p w:rsidR="007859C8" w:rsidRPr="00CF5992" w:rsidRDefault="007859C8" w:rsidP="005F16AA">
            <w:pPr>
              <w:pStyle w:val="NoSpacing"/>
              <w:spacing w:after="0"/>
              <w:jc w:val="center"/>
              <w:rPr>
                <w:b/>
                <w:sz w:val="24"/>
                <w:szCs w:val="24"/>
              </w:rPr>
            </w:pPr>
            <w:r w:rsidRPr="00CF5992">
              <w:rPr>
                <w:b/>
                <w:sz w:val="24"/>
                <w:szCs w:val="24"/>
              </w:rPr>
              <w:t>Supporting Services</w:t>
            </w:r>
            <w:r w:rsidR="00284AE3" w:rsidRPr="00CF5992">
              <w:rPr>
                <w:b/>
                <w:sz w:val="24"/>
                <w:szCs w:val="24"/>
              </w:rPr>
              <w:t>:</w:t>
            </w:r>
            <w:r w:rsidRPr="00CF5992">
              <w:rPr>
                <w:b/>
                <w:sz w:val="24"/>
                <w:szCs w:val="24"/>
              </w:rPr>
              <w:t xml:space="preserve"> Fundraising</w:t>
            </w:r>
          </w:p>
        </w:tc>
        <w:tc>
          <w:tcPr>
            <w:tcW w:w="1530" w:type="dxa"/>
            <w:vAlign w:val="bottom"/>
          </w:tcPr>
          <w:p w:rsidR="007859C8" w:rsidRPr="00CF5992" w:rsidRDefault="007859C8" w:rsidP="005F16AA">
            <w:pPr>
              <w:pStyle w:val="NoSpacing"/>
              <w:spacing w:after="0"/>
              <w:jc w:val="center"/>
              <w:rPr>
                <w:b/>
                <w:sz w:val="24"/>
                <w:szCs w:val="24"/>
              </w:rPr>
            </w:pPr>
            <w:r w:rsidRPr="00CF5992">
              <w:rPr>
                <w:b/>
                <w:sz w:val="24"/>
                <w:szCs w:val="24"/>
              </w:rPr>
              <w:t>Supporting Services</w:t>
            </w:r>
            <w:r w:rsidR="00284AE3" w:rsidRPr="00CF5992">
              <w:rPr>
                <w:b/>
                <w:sz w:val="24"/>
                <w:szCs w:val="24"/>
              </w:rPr>
              <w:t>:</w:t>
            </w:r>
          </w:p>
          <w:p w:rsidR="007859C8" w:rsidRPr="00CF5992" w:rsidRDefault="007859C8" w:rsidP="005F16AA">
            <w:pPr>
              <w:pStyle w:val="NoSpacing"/>
              <w:spacing w:after="0"/>
              <w:jc w:val="center"/>
              <w:rPr>
                <w:b/>
                <w:sz w:val="24"/>
                <w:szCs w:val="24"/>
              </w:rPr>
            </w:pPr>
            <w:r w:rsidRPr="00CF5992">
              <w:rPr>
                <w:b/>
                <w:sz w:val="24"/>
                <w:szCs w:val="24"/>
              </w:rPr>
              <w:t>Total</w:t>
            </w:r>
          </w:p>
        </w:tc>
        <w:tc>
          <w:tcPr>
            <w:tcW w:w="1430" w:type="dxa"/>
            <w:vAlign w:val="bottom"/>
          </w:tcPr>
          <w:p w:rsidR="007859C8" w:rsidRPr="00CF5992" w:rsidRDefault="00284AE3" w:rsidP="005F16AA">
            <w:pPr>
              <w:pStyle w:val="NoSpacing"/>
              <w:spacing w:after="0"/>
              <w:jc w:val="center"/>
              <w:rPr>
                <w:b/>
                <w:sz w:val="24"/>
                <w:szCs w:val="24"/>
              </w:rPr>
            </w:pPr>
            <w:r w:rsidRPr="00CF5992">
              <w:rPr>
                <w:b/>
                <w:sz w:val="24"/>
                <w:szCs w:val="24"/>
              </w:rPr>
              <w:t>GRAND TOTAL</w:t>
            </w:r>
          </w:p>
        </w:tc>
      </w:tr>
      <w:tr w:rsidR="007859C8" w:rsidRPr="0038283C" w:rsidTr="00FF439F">
        <w:trPr>
          <w:cantSplit/>
          <w:trHeight w:val="440"/>
          <w:jc w:val="center"/>
        </w:trPr>
        <w:tc>
          <w:tcPr>
            <w:tcW w:w="2905" w:type="dxa"/>
            <w:vAlign w:val="center"/>
          </w:tcPr>
          <w:p w:rsidR="007859C8" w:rsidRPr="000259AD" w:rsidRDefault="00D51AB6" w:rsidP="00CF5992">
            <w:pPr>
              <w:pStyle w:val="NoSpacing"/>
              <w:spacing w:after="0"/>
              <w:rPr>
                <w:sz w:val="24"/>
                <w:szCs w:val="24"/>
              </w:rPr>
            </w:pPr>
            <w:r>
              <w:rPr>
                <w:sz w:val="24"/>
                <w:szCs w:val="24"/>
              </w:rPr>
              <w:t>Volunteer services</w:t>
            </w:r>
          </w:p>
        </w:tc>
        <w:tc>
          <w:tcPr>
            <w:tcW w:w="1440" w:type="dxa"/>
            <w:vAlign w:val="center"/>
          </w:tcPr>
          <w:p w:rsidR="007859C8" w:rsidRPr="000259AD" w:rsidRDefault="00D51AB6" w:rsidP="00CF5992">
            <w:pPr>
              <w:pStyle w:val="NoSpacing"/>
              <w:spacing w:after="0"/>
              <w:jc w:val="center"/>
              <w:rPr>
                <w:sz w:val="24"/>
                <w:szCs w:val="24"/>
              </w:rPr>
            </w:pPr>
            <w:r>
              <w:rPr>
                <w:sz w:val="24"/>
                <w:szCs w:val="24"/>
              </w:rPr>
              <w:t>$1,161,742</w:t>
            </w:r>
          </w:p>
        </w:tc>
        <w:tc>
          <w:tcPr>
            <w:tcW w:w="1800" w:type="dxa"/>
            <w:vAlign w:val="center"/>
          </w:tcPr>
          <w:p w:rsidR="007859C8" w:rsidRPr="000259AD" w:rsidRDefault="00D51AB6" w:rsidP="00CF5992">
            <w:pPr>
              <w:pStyle w:val="NoSpacing"/>
              <w:spacing w:after="0"/>
              <w:jc w:val="center"/>
              <w:rPr>
                <w:sz w:val="24"/>
                <w:szCs w:val="24"/>
              </w:rPr>
            </w:pPr>
            <w:r>
              <w:rPr>
                <w:sz w:val="24"/>
                <w:szCs w:val="24"/>
              </w:rPr>
              <w:t>$1,161,742</w:t>
            </w:r>
          </w:p>
        </w:tc>
        <w:tc>
          <w:tcPr>
            <w:tcW w:w="1440" w:type="dxa"/>
            <w:vAlign w:val="center"/>
          </w:tcPr>
          <w:p w:rsidR="007859C8" w:rsidRPr="000259AD" w:rsidRDefault="00D51AB6" w:rsidP="00CF5992">
            <w:pPr>
              <w:pStyle w:val="NoSpacing"/>
              <w:spacing w:after="0"/>
              <w:jc w:val="center"/>
              <w:rPr>
                <w:sz w:val="24"/>
                <w:szCs w:val="24"/>
              </w:rPr>
            </w:pPr>
            <w:r>
              <w:rPr>
                <w:sz w:val="24"/>
                <w:szCs w:val="24"/>
              </w:rPr>
              <w:t>$580,871</w:t>
            </w:r>
          </w:p>
        </w:tc>
        <w:tc>
          <w:tcPr>
            <w:tcW w:w="1440" w:type="dxa"/>
            <w:vAlign w:val="center"/>
          </w:tcPr>
          <w:p w:rsidR="007859C8" w:rsidRPr="000259AD" w:rsidRDefault="00D51AB6" w:rsidP="00CF5992">
            <w:pPr>
              <w:pStyle w:val="NoSpacing"/>
              <w:spacing w:after="0"/>
              <w:jc w:val="center"/>
              <w:rPr>
                <w:sz w:val="24"/>
                <w:szCs w:val="24"/>
              </w:rPr>
            </w:pPr>
            <w:r>
              <w:rPr>
                <w:sz w:val="24"/>
                <w:szCs w:val="24"/>
              </w:rPr>
              <w:t>$2,904,355</w:t>
            </w:r>
          </w:p>
        </w:tc>
        <w:tc>
          <w:tcPr>
            <w:tcW w:w="1655" w:type="dxa"/>
            <w:vAlign w:val="center"/>
          </w:tcPr>
          <w:p w:rsidR="007859C8" w:rsidRPr="000259AD" w:rsidRDefault="00DF4846" w:rsidP="00CF5992">
            <w:pPr>
              <w:pStyle w:val="NoSpacing"/>
              <w:spacing w:after="0"/>
              <w:jc w:val="center"/>
              <w:rPr>
                <w:sz w:val="24"/>
                <w:szCs w:val="24"/>
              </w:rPr>
            </w:pPr>
            <w:r w:rsidRPr="000259AD">
              <w:rPr>
                <w:sz w:val="24"/>
                <w:szCs w:val="24"/>
              </w:rPr>
              <w:t>$--</w:t>
            </w:r>
          </w:p>
        </w:tc>
        <w:tc>
          <w:tcPr>
            <w:tcW w:w="1530" w:type="dxa"/>
            <w:vAlign w:val="center"/>
          </w:tcPr>
          <w:p w:rsidR="007859C8" w:rsidRPr="000259AD" w:rsidRDefault="00DF4846" w:rsidP="00CF5992">
            <w:pPr>
              <w:pStyle w:val="NoSpacing"/>
              <w:spacing w:after="0"/>
              <w:jc w:val="center"/>
              <w:rPr>
                <w:sz w:val="24"/>
                <w:szCs w:val="24"/>
              </w:rPr>
            </w:pPr>
            <w:r w:rsidRPr="000259AD">
              <w:rPr>
                <w:sz w:val="24"/>
                <w:szCs w:val="24"/>
              </w:rPr>
              <w:t>$--</w:t>
            </w:r>
          </w:p>
        </w:tc>
        <w:tc>
          <w:tcPr>
            <w:tcW w:w="1530" w:type="dxa"/>
            <w:vAlign w:val="center"/>
          </w:tcPr>
          <w:p w:rsidR="007859C8" w:rsidRPr="000259AD" w:rsidRDefault="00DF4846" w:rsidP="00CF5992">
            <w:pPr>
              <w:pStyle w:val="NoSpacing"/>
              <w:spacing w:after="0"/>
              <w:jc w:val="center"/>
              <w:rPr>
                <w:sz w:val="24"/>
                <w:szCs w:val="24"/>
              </w:rPr>
            </w:pPr>
            <w:r w:rsidRPr="000259AD">
              <w:rPr>
                <w:sz w:val="24"/>
                <w:szCs w:val="24"/>
              </w:rPr>
              <w:t>$--</w:t>
            </w:r>
          </w:p>
        </w:tc>
        <w:tc>
          <w:tcPr>
            <w:tcW w:w="1430" w:type="dxa"/>
            <w:vAlign w:val="center"/>
          </w:tcPr>
          <w:p w:rsidR="007859C8" w:rsidRPr="000259AD" w:rsidRDefault="00DF4846" w:rsidP="00CF5992">
            <w:pPr>
              <w:pStyle w:val="NoSpacing"/>
              <w:spacing w:after="0"/>
              <w:jc w:val="center"/>
              <w:rPr>
                <w:sz w:val="24"/>
                <w:szCs w:val="24"/>
              </w:rPr>
            </w:pPr>
            <w:r w:rsidRPr="000259AD">
              <w:rPr>
                <w:sz w:val="24"/>
                <w:szCs w:val="24"/>
              </w:rPr>
              <w:t>$</w:t>
            </w:r>
            <w:r w:rsidR="0029326E">
              <w:rPr>
                <w:sz w:val="24"/>
                <w:szCs w:val="24"/>
              </w:rPr>
              <w:t>2,904,355</w:t>
            </w:r>
          </w:p>
        </w:tc>
      </w:tr>
      <w:tr w:rsidR="007859C8" w:rsidRPr="0038283C" w:rsidTr="00FF439F">
        <w:trPr>
          <w:cantSplit/>
          <w:trHeight w:val="350"/>
          <w:jc w:val="center"/>
        </w:trPr>
        <w:tc>
          <w:tcPr>
            <w:tcW w:w="2905" w:type="dxa"/>
            <w:vAlign w:val="center"/>
          </w:tcPr>
          <w:p w:rsidR="007859C8" w:rsidRPr="000259AD" w:rsidRDefault="007859C8" w:rsidP="00CF5992">
            <w:pPr>
              <w:pStyle w:val="NoSpacing"/>
              <w:spacing w:after="0"/>
              <w:rPr>
                <w:sz w:val="24"/>
                <w:szCs w:val="24"/>
              </w:rPr>
            </w:pPr>
            <w:r w:rsidRPr="000259AD">
              <w:rPr>
                <w:sz w:val="24"/>
                <w:szCs w:val="24"/>
              </w:rPr>
              <w:t>Salaries</w:t>
            </w:r>
          </w:p>
        </w:tc>
        <w:tc>
          <w:tcPr>
            <w:tcW w:w="1440" w:type="dxa"/>
            <w:vAlign w:val="center"/>
          </w:tcPr>
          <w:p w:rsidR="007859C8" w:rsidRPr="000259AD" w:rsidRDefault="00D51AB6" w:rsidP="00CF5992">
            <w:pPr>
              <w:pStyle w:val="NoSpacing"/>
              <w:spacing w:after="0"/>
              <w:jc w:val="center"/>
              <w:rPr>
                <w:sz w:val="24"/>
                <w:szCs w:val="24"/>
              </w:rPr>
            </w:pPr>
            <w:r>
              <w:rPr>
                <w:sz w:val="24"/>
                <w:szCs w:val="24"/>
              </w:rPr>
              <w:t>1,149,492</w:t>
            </w:r>
          </w:p>
        </w:tc>
        <w:tc>
          <w:tcPr>
            <w:tcW w:w="1800" w:type="dxa"/>
            <w:vAlign w:val="center"/>
          </w:tcPr>
          <w:p w:rsidR="007859C8" w:rsidRPr="000259AD" w:rsidRDefault="00D51AB6" w:rsidP="00CF5992">
            <w:pPr>
              <w:pStyle w:val="NoSpacing"/>
              <w:spacing w:after="0"/>
              <w:jc w:val="center"/>
              <w:rPr>
                <w:sz w:val="24"/>
                <w:szCs w:val="24"/>
              </w:rPr>
            </w:pPr>
            <w:r>
              <w:rPr>
                <w:sz w:val="24"/>
                <w:szCs w:val="24"/>
              </w:rPr>
              <w:t>1,326,336</w:t>
            </w:r>
          </w:p>
        </w:tc>
        <w:tc>
          <w:tcPr>
            <w:tcW w:w="1440" w:type="dxa"/>
            <w:vAlign w:val="center"/>
          </w:tcPr>
          <w:p w:rsidR="007859C8" w:rsidRPr="000259AD" w:rsidRDefault="00D51AB6" w:rsidP="00CF5992">
            <w:pPr>
              <w:pStyle w:val="NoSpacing"/>
              <w:spacing w:after="0"/>
              <w:jc w:val="center"/>
              <w:rPr>
                <w:sz w:val="24"/>
                <w:szCs w:val="24"/>
              </w:rPr>
            </w:pPr>
            <w:r>
              <w:rPr>
                <w:sz w:val="24"/>
                <w:szCs w:val="24"/>
              </w:rPr>
              <w:t>1,591,604</w:t>
            </w:r>
          </w:p>
        </w:tc>
        <w:tc>
          <w:tcPr>
            <w:tcW w:w="1440" w:type="dxa"/>
            <w:vAlign w:val="center"/>
          </w:tcPr>
          <w:p w:rsidR="007859C8" w:rsidRPr="000259AD" w:rsidRDefault="00D51AB6" w:rsidP="00CF5992">
            <w:pPr>
              <w:pStyle w:val="NoSpacing"/>
              <w:spacing w:after="0"/>
              <w:jc w:val="center"/>
              <w:rPr>
                <w:sz w:val="24"/>
                <w:szCs w:val="24"/>
              </w:rPr>
            </w:pPr>
            <w:r>
              <w:rPr>
                <w:sz w:val="24"/>
                <w:szCs w:val="24"/>
              </w:rPr>
              <w:t>4,067,432</w:t>
            </w:r>
          </w:p>
        </w:tc>
        <w:tc>
          <w:tcPr>
            <w:tcW w:w="1655" w:type="dxa"/>
            <w:vAlign w:val="center"/>
          </w:tcPr>
          <w:p w:rsidR="007859C8" w:rsidRPr="000259AD" w:rsidRDefault="0029326E" w:rsidP="00CF5992">
            <w:pPr>
              <w:pStyle w:val="NoSpacing"/>
              <w:spacing w:after="0"/>
              <w:jc w:val="center"/>
              <w:rPr>
                <w:sz w:val="24"/>
                <w:szCs w:val="24"/>
              </w:rPr>
            </w:pPr>
            <w:r>
              <w:rPr>
                <w:sz w:val="24"/>
                <w:szCs w:val="24"/>
              </w:rPr>
              <w:t>309,479</w:t>
            </w:r>
          </w:p>
        </w:tc>
        <w:tc>
          <w:tcPr>
            <w:tcW w:w="1530" w:type="dxa"/>
            <w:vAlign w:val="center"/>
          </w:tcPr>
          <w:p w:rsidR="007859C8" w:rsidRPr="000259AD" w:rsidRDefault="0029326E" w:rsidP="00CF5992">
            <w:pPr>
              <w:pStyle w:val="NoSpacing"/>
              <w:spacing w:after="0"/>
              <w:jc w:val="center"/>
              <w:rPr>
                <w:sz w:val="24"/>
                <w:szCs w:val="24"/>
              </w:rPr>
            </w:pPr>
            <w:r>
              <w:rPr>
                <w:sz w:val="24"/>
                <w:szCs w:val="24"/>
              </w:rPr>
              <w:t>44,211</w:t>
            </w:r>
          </w:p>
        </w:tc>
        <w:tc>
          <w:tcPr>
            <w:tcW w:w="1530" w:type="dxa"/>
            <w:vAlign w:val="center"/>
          </w:tcPr>
          <w:p w:rsidR="007859C8" w:rsidRPr="000259AD" w:rsidRDefault="0029326E" w:rsidP="00CF5992">
            <w:pPr>
              <w:pStyle w:val="NoSpacing"/>
              <w:spacing w:after="0"/>
              <w:jc w:val="center"/>
              <w:rPr>
                <w:sz w:val="24"/>
                <w:szCs w:val="24"/>
              </w:rPr>
            </w:pPr>
            <w:r>
              <w:rPr>
                <w:sz w:val="24"/>
                <w:szCs w:val="24"/>
              </w:rPr>
              <w:t>353,690</w:t>
            </w:r>
          </w:p>
        </w:tc>
        <w:tc>
          <w:tcPr>
            <w:tcW w:w="1430" w:type="dxa"/>
            <w:vAlign w:val="center"/>
          </w:tcPr>
          <w:p w:rsidR="007859C8" w:rsidRPr="000259AD" w:rsidRDefault="0029326E" w:rsidP="00CF5992">
            <w:pPr>
              <w:pStyle w:val="NoSpacing"/>
              <w:spacing w:after="0"/>
              <w:jc w:val="center"/>
              <w:rPr>
                <w:sz w:val="24"/>
                <w:szCs w:val="24"/>
              </w:rPr>
            </w:pPr>
            <w:r>
              <w:rPr>
                <w:sz w:val="24"/>
                <w:szCs w:val="24"/>
              </w:rPr>
              <w:t>4,421,122</w:t>
            </w:r>
          </w:p>
        </w:tc>
      </w:tr>
      <w:tr w:rsidR="007859C8" w:rsidRPr="0038283C" w:rsidTr="00FF439F">
        <w:trPr>
          <w:cantSplit/>
          <w:jc w:val="center"/>
        </w:trPr>
        <w:tc>
          <w:tcPr>
            <w:tcW w:w="2905" w:type="dxa"/>
            <w:vAlign w:val="center"/>
          </w:tcPr>
          <w:p w:rsidR="007859C8" w:rsidRPr="000259AD" w:rsidRDefault="007859C8" w:rsidP="00CF5992">
            <w:pPr>
              <w:pStyle w:val="NoSpacing"/>
              <w:spacing w:after="0"/>
              <w:rPr>
                <w:sz w:val="24"/>
                <w:szCs w:val="24"/>
              </w:rPr>
            </w:pPr>
            <w:r w:rsidRPr="000259AD">
              <w:rPr>
                <w:sz w:val="24"/>
                <w:szCs w:val="24"/>
              </w:rPr>
              <w:t>Payroll taxes and related expenses</w:t>
            </w:r>
          </w:p>
        </w:tc>
        <w:tc>
          <w:tcPr>
            <w:tcW w:w="1440" w:type="dxa"/>
            <w:vAlign w:val="center"/>
          </w:tcPr>
          <w:p w:rsidR="007859C8" w:rsidRPr="00FF439F" w:rsidRDefault="00D51AB6" w:rsidP="00CF5992">
            <w:pPr>
              <w:pStyle w:val="NoSpacing"/>
              <w:spacing w:after="0"/>
              <w:jc w:val="center"/>
              <w:rPr>
                <w:sz w:val="24"/>
                <w:szCs w:val="24"/>
                <w:u w:val="single"/>
              </w:rPr>
            </w:pPr>
            <w:r>
              <w:rPr>
                <w:sz w:val="24"/>
                <w:szCs w:val="24"/>
                <w:u w:val="single"/>
              </w:rPr>
              <w:t>197,951</w:t>
            </w:r>
          </w:p>
        </w:tc>
        <w:tc>
          <w:tcPr>
            <w:tcW w:w="1800" w:type="dxa"/>
            <w:vAlign w:val="center"/>
          </w:tcPr>
          <w:p w:rsidR="007859C8" w:rsidRPr="00FF439F" w:rsidRDefault="00D51AB6" w:rsidP="00CF5992">
            <w:pPr>
              <w:pStyle w:val="NoSpacing"/>
              <w:spacing w:after="0"/>
              <w:jc w:val="center"/>
              <w:rPr>
                <w:sz w:val="24"/>
                <w:szCs w:val="24"/>
                <w:u w:val="single"/>
              </w:rPr>
            </w:pPr>
            <w:r>
              <w:rPr>
                <w:sz w:val="24"/>
                <w:szCs w:val="24"/>
                <w:u w:val="single"/>
              </w:rPr>
              <w:t>227,708</w:t>
            </w:r>
          </w:p>
        </w:tc>
        <w:tc>
          <w:tcPr>
            <w:tcW w:w="1440" w:type="dxa"/>
            <w:vAlign w:val="center"/>
          </w:tcPr>
          <w:p w:rsidR="007859C8" w:rsidRPr="00FF439F" w:rsidRDefault="00D51AB6" w:rsidP="00CF5992">
            <w:pPr>
              <w:pStyle w:val="NoSpacing"/>
              <w:spacing w:after="0"/>
              <w:jc w:val="center"/>
              <w:rPr>
                <w:sz w:val="24"/>
                <w:szCs w:val="24"/>
                <w:u w:val="single"/>
              </w:rPr>
            </w:pPr>
            <w:r>
              <w:rPr>
                <w:sz w:val="24"/>
                <w:szCs w:val="24"/>
                <w:u w:val="single"/>
              </w:rPr>
              <w:t>272,344</w:t>
            </w:r>
          </w:p>
        </w:tc>
        <w:tc>
          <w:tcPr>
            <w:tcW w:w="1440" w:type="dxa"/>
            <w:vAlign w:val="center"/>
          </w:tcPr>
          <w:p w:rsidR="007859C8" w:rsidRPr="00FF439F" w:rsidRDefault="00D51AB6" w:rsidP="00CF5992">
            <w:pPr>
              <w:pStyle w:val="NoSpacing"/>
              <w:spacing w:after="0"/>
              <w:jc w:val="center"/>
              <w:rPr>
                <w:sz w:val="24"/>
                <w:szCs w:val="24"/>
                <w:u w:val="single"/>
              </w:rPr>
            </w:pPr>
            <w:r>
              <w:rPr>
                <w:sz w:val="24"/>
                <w:szCs w:val="24"/>
                <w:u w:val="single"/>
              </w:rPr>
              <w:t>698,003</w:t>
            </w:r>
          </w:p>
        </w:tc>
        <w:tc>
          <w:tcPr>
            <w:tcW w:w="1655" w:type="dxa"/>
            <w:vAlign w:val="center"/>
          </w:tcPr>
          <w:p w:rsidR="007859C8" w:rsidRPr="00FF439F" w:rsidRDefault="00AE35AE" w:rsidP="00CF5992">
            <w:pPr>
              <w:pStyle w:val="NoSpacing"/>
              <w:spacing w:after="0"/>
              <w:jc w:val="center"/>
              <w:rPr>
                <w:sz w:val="24"/>
                <w:szCs w:val="24"/>
                <w:u w:val="single"/>
              </w:rPr>
            </w:pPr>
            <w:r>
              <w:rPr>
                <w:sz w:val="24"/>
                <w:szCs w:val="24"/>
                <w:u w:val="single"/>
              </w:rPr>
              <w:t>53,585</w:t>
            </w:r>
          </w:p>
        </w:tc>
        <w:tc>
          <w:tcPr>
            <w:tcW w:w="1530" w:type="dxa"/>
            <w:vAlign w:val="center"/>
          </w:tcPr>
          <w:p w:rsidR="007859C8" w:rsidRPr="00FF439F" w:rsidRDefault="00AE35AE" w:rsidP="00CF5992">
            <w:pPr>
              <w:pStyle w:val="NoSpacing"/>
              <w:spacing w:after="0"/>
              <w:jc w:val="center"/>
              <w:rPr>
                <w:sz w:val="24"/>
                <w:szCs w:val="24"/>
                <w:u w:val="single"/>
              </w:rPr>
            </w:pPr>
            <w:r>
              <w:rPr>
                <w:sz w:val="24"/>
                <w:szCs w:val="24"/>
                <w:u w:val="single"/>
              </w:rPr>
              <w:t>7,439</w:t>
            </w:r>
          </w:p>
        </w:tc>
        <w:tc>
          <w:tcPr>
            <w:tcW w:w="1530" w:type="dxa"/>
            <w:vAlign w:val="center"/>
          </w:tcPr>
          <w:p w:rsidR="007859C8" w:rsidRPr="00FF439F" w:rsidRDefault="00AE35AE" w:rsidP="00CF5992">
            <w:pPr>
              <w:pStyle w:val="NoSpacing"/>
              <w:spacing w:after="0"/>
              <w:jc w:val="center"/>
              <w:rPr>
                <w:sz w:val="24"/>
                <w:szCs w:val="24"/>
                <w:u w:val="single"/>
              </w:rPr>
            </w:pPr>
            <w:r>
              <w:rPr>
                <w:sz w:val="24"/>
                <w:szCs w:val="24"/>
                <w:u w:val="single"/>
              </w:rPr>
              <w:t>61,024</w:t>
            </w:r>
          </w:p>
        </w:tc>
        <w:tc>
          <w:tcPr>
            <w:tcW w:w="1430" w:type="dxa"/>
            <w:vAlign w:val="center"/>
          </w:tcPr>
          <w:p w:rsidR="007859C8" w:rsidRPr="00FF439F" w:rsidRDefault="00AE35AE" w:rsidP="00CF5992">
            <w:pPr>
              <w:pStyle w:val="NoSpacing"/>
              <w:spacing w:after="0"/>
              <w:jc w:val="center"/>
              <w:rPr>
                <w:sz w:val="24"/>
                <w:szCs w:val="24"/>
                <w:u w:val="single"/>
              </w:rPr>
            </w:pPr>
            <w:r>
              <w:rPr>
                <w:sz w:val="24"/>
                <w:szCs w:val="24"/>
                <w:u w:val="single"/>
              </w:rPr>
              <w:t>759,027</w:t>
            </w:r>
          </w:p>
        </w:tc>
      </w:tr>
      <w:tr w:rsidR="007859C8" w:rsidRPr="0038283C" w:rsidTr="00FF439F">
        <w:trPr>
          <w:cantSplit/>
          <w:jc w:val="center"/>
        </w:trPr>
        <w:tc>
          <w:tcPr>
            <w:tcW w:w="2905" w:type="dxa"/>
            <w:vAlign w:val="center"/>
          </w:tcPr>
          <w:p w:rsidR="007859C8" w:rsidRPr="000259AD" w:rsidRDefault="007859C8" w:rsidP="00CF5992">
            <w:pPr>
              <w:pStyle w:val="NoSpacing"/>
              <w:spacing w:after="0"/>
              <w:rPr>
                <w:sz w:val="24"/>
                <w:szCs w:val="24"/>
              </w:rPr>
            </w:pPr>
            <w:r w:rsidRPr="000259AD">
              <w:rPr>
                <w:sz w:val="24"/>
                <w:szCs w:val="24"/>
              </w:rPr>
              <w:t>Total salaries and related expenses</w:t>
            </w:r>
          </w:p>
        </w:tc>
        <w:tc>
          <w:tcPr>
            <w:tcW w:w="1440" w:type="dxa"/>
            <w:vAlign w:val="center"/>
          </w:tcPr>
          <w:p w:rsidR="007859C8" w:rsidRPr="000259AD" w:rsidRDefault="00D51AB6" w:rsidP="00CF5992">
            <w:pPr>
              <w:pStyle w:val="NoSpacing"/>
              <w:spacing w:after="0"/>
              <w:jc w:val="center"/>
              <w:rPr>
                <w:sz w:val="24"/>
                <w:szCs w:val="24"/>
              </w:rPr>
            </w:pPr>
            <w:r>
              <w:rPr>
                <w:sz w:val="24"/>
                <w:szCs w:val="24"/>
              </w:rPr>
              <w:t>2,509,185</w:t>
            </w:r>
          </w:p>
        </w:tc>
        <w:tc>
          <w:tcPr>
            <w:tcW w:w="1800" w:type="dxa"/>
            <w:vAlign w:val="center"/>
          </w:tcPr>
          <w:p w:rsidR="007859C8" w:rsidRPr="000259AD" w:rsidRDefault="00D51AB6" w:rsidP="00CF5992">
            <w:pPr>
              <w:pStyle w:val="NoSpacing"/>
              <w:spacing w:after="0"/>
              <w:jc w:val="center"/>
              <w:rPr>
                <w:sz w:val="24"/>
                <w:szCs w:val="24"/>
              </w:rPr>
            </w:pPr>
            <w:r>
              <w:rPr>
                <w:sz w:val="24"/>
                <w:szCs w:val="24"/>
              </w:rPr>
              <w:t>2,715,786</w:t>
            </w:r>
          </w:p>
        </w:tc>
        <w:tc>
          <w:tcPr>
            <w:tcW w:w="1440" w:type="dxa"/>
            <w:vAlign w:val="center"/>
          </w:tcPr>
          <w:p w:rsidR="007859C8" w:rsidRPr="000259AD" w:rsidRDefault="00D51AB6" w:rsidP="00CF5992">
            <w:pPr>
              <w:pStyle w:val="NoSpacing"/>
              <w:spacing w:after="0"/>
              <w:jc w:val="center"/>
              <w:rPr>
                <w:sz w:val="24"/>
                <w:szCs w:val="24"/>
              </w:rPr>
            </w:pPr>
            <w:r>
              <w:rPr>
                <w:sz w:val="24"/>
                <w:szCs w:val="24"/>
              </w:rPr>
              <w:t>2,444,819</w:t>
            </w:r>
          </w:p>
        </w:tc>
        <w:tc>
          <w:tcPr>
            <w:tcW w:w="1440" w:type="dxa"/>
            <w:vAlign w:val="center"/>
          </w:tcPr>
          <w:p w:rsidR="007859C8" w:rsidRPr="000259AD" w:rsidRDefault="00D51AB6" w:rsidP="00CF5992">
            <w:pPr>
              <w:pStyle w:val="NoSpacing"/>
              <w:spacing w:after="0"/>
              <w:jc w:val="center"/>
              <w:rPr>
                <w:sz w:val="24"/>
                <w:szCs w:val="24"/>
              </w:rPr>
            </w:pPr>
            <w:r>
              <w:rPr>
                <w:sz w:val="24"/>
                <w:szCs w:val="24"/>
              </w:rPr>
              <w:t>7,669,790</w:t>
            </w:r>
          </w:p>
        </w:tc>
        <w:tc>
          <w:tcPr>
            <w:tcW w:w="1655" w:type="dxa"/>
            <w:vAlign w:val="center"/>
          </w:tcPr>
          <w:p w:rsidR="007859C8" w:rsidRPr="000259AD" w:rsidRDefault="00AE35AE" w:rsidP="00CF5992">
            <w:pPr>
              <w:pStyle w:val="NoSpacing"/>
              <w:spacing w:after="0"/>
              <w:jc w:val="center"/>
              <w:rPr>
                <w:sz w:val="24"/>
                <w:szCs w:val="24"/>
              </w:rPr>
            </w:pPr>
            <w:r>
              <w:rPr>
                <w:sz w:val="24"/>
                <w:szCs w:val="24"/>
              </w:rPr>
              <w:t>363,064</w:t>
            </w:r>
          </w:p>
        </w:tc>
        <w:tc>
          <w:tcPr>
            <w:tcW w:w="1530" w:type="dxa"/>
            <w:vAlign w:val="center"/>
          </w:tcPr>
          <w:p w:rsidR="007859C8" w:rsidRPr="000259AD" w:rsidRDefault="00AE35AE" w:rsidP="00CF5992">
            <w:pPr>
              <w:pStyle w:val="NoSpacing"/>
              <w:spacing w:after="0"/>
              <w:jc w:val="center"/>
              <w:rPr>
                <w:sz w:val="24"/>
                <w:szCs w:val="24"/>
              </w:rPr>
            </w:pPr>
            <w:r>
              <w:rPr>
                <w:sz w:val="24"/>
                <w:szCs w:val="24"/>
              </w:rPr>
              <w:t>51,650</w:t>
            </w:r>
          </w:p>
        </w:tc>
        <w:tc>
          <w:tcPr>
            <w:tcW w:w="1530" w:type="dxa"/>
            <w:vAlign w:val="center"/>
          </w:tcPr>
          <w:p w:rsidR="007859C8" w:rsidRPr="000259AD" w:rsidRDefault="00AE35AE" w:rsidP="00CF5992">
            <w:pPr>
              <w:pStyle w:val="NoSpacing"/>
              <w:spacing w:after="0"/>
              <w:jc w:val="center"/>
              <w:rPr>
                <w:sz w:val="24"/>
                <w:szCs w:val="24"/>
              </w:rPr>
            </w:pPr>
            <w:r>
              <w:rPr>
                <w:sz w:val="24"/>
                <w:szCs w:val="24"/>
              </w:rPr>
              <w:t>414,714</w:t>
            </w:r>
          </w:p>
        </w:tc>
        <w:tc>
          <w:tcPr>
            <w:tcW w:w="1430" w:type="dxa"/>
            <w:vAlign w:val="center"/>
          </w:tcPr>
          <w:p w:rsidR="007859C8" w:rsidRPr="000259AD" w:rsidRDefault="00AE35AE" w:rsidP="00CF5992">
            <w:pPr>
              <w:pStyle w:val="NoSpacing"/>
              <w:spacing w:after="0"/>
              <w:jc w:val="center"/>
              <w:rPr>
                <w:sz w:val="24"/>
                <w:szCs w:val="24"/>
              </w:rPr>
            </w:pPr>
            <w:r>
              <w:rPr>
                <w:sz w:val="24"/>
                <w:szCs w:val="24"/>
              </w:rPr>
              <w:t>8,084,504</w:t>
            </w:r>
          </w:p>
        </w:tc>
      </w:tr>
      <w:tr w:rsidR="007859C8" w:rsidRPr="0038283C" w:rsidTr="00FF439F">
        <w:trPr>
          <w:cantSplit/>
          <w:jc w:val="center"/>
        </w:trPr>
        <w:tc>
          <w:tcPr>
            <w:tcW w:w="2905" w:type="dxa"/>
            <w:vAlign w:val="center"/>
          </w:tcPr>
          <w:p w:rsidR="007859C8" w:rsidRPr="000259AD" w:rsidRDefault="007859C8" w:rsidP="00CF5992">
            <w:pPr>
              <w:pStyle w:val="NoSpacing"/>
              <w:spacing w:after="0"/>
              <w:rPr>
                <w:sz w:val="24"/>
                <w:szCs w:val="24"/>
              </w:rPr>
            </w:pPr>
            <w:r w:rsidRPr="000259AD">
              <w:rPr>
                <w:sz w:val="24"/>
                <w:szCs w:val="24"/>
              </w:rPr>
              <w:t>Supplies</w:t>
            </w:r>
          </w:p>
        </w:tc>
        <w:tc>
          <w:tcPr>
            <w:tcW w:w="1440" w:type="dxa"/>
            <w:vAlign w:val="center"/>
          </w:tcPr>
          <w:p w:rsidR="007859C8" w:rsidRPr="000259AD" w:rsidRDefault="00D51AB6" w:rsidP="00CF5992">
            <w:pPr>
              <w:pStyle w:val="NoSpacing"/>
              <w:spacing w:after="0"/>
              <w:jc w:val="center"/>
              <w:rPr>
                <w:sz w:val="24"/>
                <w:szCs w:val="24"/>
              </w:rPr>
            </w:pPr>
            <w:r>
              <w:rPr>
                <w:sz w:val="24"/>
                <w:szCs w:val="24"/>
              </w:rPr>
              <w:t>76,073</w:t>
            </w:r>
          </w:p>
        </w:tc>
        <w:tc>
          <w:tcPr>
            <w:tcW w:w="1800" w:type="dxa"/>
            <w:vAlign w:val="center"/>
          </w:tcPr>
          <w:p w:rsidR="007859C8" w:rsidRPr="000259AD" w:rsidRDefault="00D51AB6" w:rsidP="00CF5992">
            <w:pPr>
              <w:pStyle w:val="NoSpacing"/>
              <w:spacing w:after="0"/>
              <w:jc w:val="center"/>
              <w:rPr>
                <w:sz w:val="24"/>
                <w:szCs w:val="24"/>
              </w:rPr>
            </w:pPr>
            <w:r>
              <w:rPr>
                <w:sz w:val="24"/>
                <w:szCs w:val="24"/>
              </w:rPr>
              <w:t>91,908</w:t>
            </w:r>
          </w:p>
        </w:tc>
        <w:tc>
          <w:tcPr>
            <w:tcW w:w="1440" w:type="dxa"/>
            <w:vAlign w:val="center"/>
          </w:tcPr>
          <w:p w:rsidR="007859C8" w:rsidRPr="000259AD" w:rsidRDefault="00D51AB6" w:rsidP="00CF5992">
            <w:pPr>
              <w:pStyle w:val="NoSpacing"/>
              <w:spacing w:after="0"/>
              <w:jc w:val="center"/>
              <w:rPr>
                <w:sz w:val="24"/>
                <w:szCs w:val="24"/>
              </w:rPr>
            </w:pPr>
            <w:r>
              <w:rPr>
                <w:sz w:val="24"/>
                <w:szCs w:val="24"/>
              </w:rPr>
              <w:t>307,944</w:t>
            </w:r>
          </w:p>
        </w:tc>
        <w:tc>
          <w:tcPr>
            <w:tcW w:w="1440" w:type="dxa"/>
            <w:vAlign w:val="center"/>
          </w:tcPr>
          <w:p w:rsidR="007859C8" w:rsidRPr="000259AD" w:rsidRDefault="00D51AB6" w:rsidP="00CF5992">
            <w:pPr>
              <w:pStyle w:val="NoSpacing"/>
              <w:spacing w:after="0"/>
              <w:jc w:val="center"/>
              <w:rPr>
                <w:sz w:val="24"/>
                <w:szCs w:val="24"/>
              </w:rPr>
            </w:pPr>
            <w:r>
              <w:rPr>
                <w:sz w:val="24"/>
                <w:szCs w:val="24"/>
              </w:rPr>
              <w:t>475,925</w:t>
            </w:r>
          </w:p>
        </w:tc>
        <w:tc>
          <w:tcPr>
            <w:tcW w:w="1655" w:type="dxa"/>
            <w:vAlign w:val="center"/>
          </w:tcPr>
          <w:p w:rsidR="007859C8" w:rsidRPr="000259AD" w:rsidRDefault="00AE35AE" w:rsidP="00CF5992">
            <w:pPr>
              <w:pStyle w:val="NoSpacing"/>
              <w:spacing w:after="0"/>
              <w:jc w:val="center"/>
              <w:rPr>
                <w:sz w:val="24"/>
                <w:szCs w:val="24"/>
              </w:rPr>
            </w:pPr>
            <w:r>
              <w:rPr>
                <w:sz w:val="24"/>
                <w:szCs w:val="24"/>
              </w:rPr>
              <w:t>9,284</w:t>
            </w:r>
          </w:p>
        </w:tc>
        <w:tc>
          <w:tcPr>
            <w:tcW w:w="1530" w:type="dxa"/>
            <w:vAlign w:val="center"/>
          </w:tcPr>
          <w:p w:rsidR="007859C8" w:rsidRPr="000259AD" w:rsidRDefault="00AE35AE" w:rsidP="00CF5992">
            <w:pPr>
              <w:pStyle w:val="NoSpacing"/>
              <w:spacing w:after="0"/>
              <w:jc w:val="center"/>
              <w:rPr>
                <w:sz w:val="24"/>
                <w:szCs w:val="24"/>
              </w:rPr>
            </w:pPr>
            <w:r>
              <w:rPr>
                <w:sz w:val="24"/>
                <w:szCs w:val="24"/>
              </w:rPr>
              <w:t>2,716</w:t>
            </w:r>
          </w:p>
        </w:tc>
        <w:tc>
          <w:tcPr>
            <w:tcW w:w="1530" w:type="dxa"/>
            <w:vAlign w:val="center"/>
          </w:tcPr>
          <w:p w:rsidR="007859C8" w:rsidRPr="000259AD" w:rsidRDefault="00AE35AE" w:rsidP="00CF5992">
            <w:pPr>
              <w:pStyle w:val="NoSpacing"/>
              <w:spacing w:after="0"/>
              <w:jc w:val="center"/>
              <w:rPr>
                <w:sz w:val="24"/>
                <w:szCs w:val="24"/>
              </w:rPr>
            </w:pPr>
            <w:r>
              <w:rPr>
                <w:sz w:val="24"/>
                <w:szCs w:val="24"/>
              </w:rPr>
              <w:t>12,000</w:t>
            </w:r>
          </w:p>
        </w:tc>
        <w:tc>
          <w:tcPr>
            <w:tcW w:w="1430" w:type="dxa"/>
            <w:vAlign w:val="center"/>
          </w:tcPr>
          <w:p w:rsidR="007859C8" w:rsidRPr="000259AD" w:rsidRDefault="00AE35AE" w:rsidP="00CF5992">
            <w:pPr>
              <w:pStyle w:val="NoSpacing"/>
              <w:spacing w:after="0"/>
              <w:jc w:val="center"/>
              <w:rPr>
                <w:sz w:val="24"/>
                <w:szCs w:val="24"/>
              </w:rPr>
            </w:pPr>
            <w:r>
              <w:rPr>
                <w:sz w:val="24"/>
                <w:szCs w:val="24"/>
              </w:rPr>
              <w:t>487,925</w:t>
            </w:r>
          </w:p>
        </w:tc>
      </w:tr>
      <w:tr w:rsidR="007859C8" w:rsidRPr="0038283C" w:rsidTr="00FF439F">
        <w:trPr>
          <w:cantSplit/>
          <w:jc w:val="center"/>
        </w:trPr>
        <w:tc>
          <w:tcPr>
            <w:tcW w:w="2905" w:type="dxa"/>
            <w:vAlign w:val="center"/>
          </w:tcPr>
          <w:p w:rsidR="007859C8" w:rsidRPr="000259AD" w:rsidRDefault="007859C8" w:rsidP="00CF5992">
            <w:pPr>
              <w:pStyle w:val="NoSpacing"/>
              <w:spacing w:after="0"/>
              <w:rPr>
                <w:sz w:val="24"/>
                <w:szCs w:val="24"/>
              </w:rPr>
            </w:pPr>
            <w:r w:rsidRPr="000259AD">
              <w:rPr>
                <w:sz w:val="24"/>
                <w:szCs w:val="24"/>
              </w:rPr>
              <w:t>Postage and shipping</w:t>
            </w:r>
          </w:p>
        </w:tc>
        <w:tc>
          <w:tcPr>
            <w:tcW w:w="1440" w:type="dxa"/>
            <w:vAlign w:val="center"/>
          </w:tcPr>
          <w:p w:rsidR="007859C8" w:rsidRPr="000259AD" w:rsidRDefault="00D51AB6" w:rsidP="00CF5992">
            <w:pPr>
              <w:pStyle w:val="NoSpacing"/>
              <w:spacing w:after="0"/>
              <w:jc w:val="center"/>
              <w:rPr>
                <w:sz w:val="24"/>
                <w:szCs w:val="24"/>
              </w:rPr>
            </w:pPr>
            <w:r>
              <w:rPr>
                <w:sz w:val="24"/>
                <w:szCs w:val="24"/>
              </w:rPr>
              <w:t>658,119</w:t>
            </w:r>
          </w:p>
        </w:tc>
        <w:tc>
          <w:tcPr>
            <w:tcW w:w="1800" w:type="dxa"/>
            <w:vAlign w:val="center"/>
          </w:tcPr>
          <w:p w:rsidR="007859C8" w:rsidRPr="000259AD" w:rsidRDefault="00D51AB6" w:rsidP="00CF5992">
            <w:pPr>
              <w:pStyle w:val="NoSpacing"/>
              <w:spacing w:after="0"/>
              <w:jc w:val="center"/>
              <w:rPr>
                <w:sz w:val="24"/>
                <w:szCs w:val="24"/>
              </w:rPr>
            </w:pPr>
            <w:r>
              <w:rPr>
                <w:sz w:val="24"/>
                <w:szCs w:val="24"/>
              </w:rPr>
              <w:t>12,245</w:t>
            </w:r>
          </w:p>
        </w:tc>
        <w:tc>
          <w:tcPr>
            <w:tcW w:w="1440" w:type="dxa"/>
            <w:vAlign w:val="center"/>
          </w:tcPr>
          <w:p w:rsidR="007859C8" w:rsidRPr="000259AD" w:rsidRDefault="00D51AB6" w:rsidP="00CF5992">
            <w:pPr>
              <w:pStyle w:val="NoSpacing"/>
              <w:spacing w:after="0"/>
              <w:jc w:val="center"/>
              <w:rPr>
                <w:sz w:val="24"/>
                <w:szCs w:val="24"/>
              </w:rPr>
            </w:pPr>
            <w:r>
              <w:rPr>
                <w:sz w:val="24"/>
                <w:szCs w:val="24"/>
              </w:rPr>
              <w:t>12,697</w:t>
            </w:r>
          </w:p>
        </w:tc>
        <w:tc>
          <w:tcPr>
            <w:tcW w:w="1440" w:type="dxa"/>
            <w:vAlign w:val="center"/>
          </w:tcPr>
          <w:p w:rsidR="007859C8" w:rsidRPr="000259AD" w:rsidRDefault="00D51AB6" w:rsidP="00CF5992">
            <w:pPr>
              <w:pStyle w:val="NoSpacing"/>
              <w:spacing w:after="0"/>
              <w:jc w:val="center"/>
              <w:rPr>
                <w:sz w:val="24"/>
                <w:szCs w:val="24"/>
              </w:rPr>
            </w:pPr>
            <w:r>
              <w:rPr>
                <w:sz w:val="24"/>
                <w:szCs w:val="24"/>
              </w:rPr>
              <w:t>683,061</w:t>
            </w:r>
          </w:p>
        </w:tc>
        <w:tc>
          <w:tcPr>
            <w:tcW w:w="1655" w:type="dxa"/>
            <w:vAlign w:val="center"/>
          </w:tcPr>
          <w:p w:rsidR="007859C8" w:rsidRPr="000259AD" w:rsidRDefault="00AE35AE" w:rsidP="00CF5992">
            <w:pPr>
              <w:pStyle w:val="NoSpacing"/>
              <w:spacing w:after="0"/>
              <w:jc w:val="center"/>
              <w:rPr>
                <w:sz w:val="24"/>
                <w:szCs w:val="24"/>
              </w:rPr>
            </w:pPr>
            <w:r>
              <w:rPr>
                <w:sz w:val="24"/>
                <w:szCs w:val="24"/>
              </w:rPr>
              <w:t>1,086</w:t>
            </w:r>
          </w:p>
        </w:tc>
        <w:tc>
          <w:tcPr>
            <w:tcW w:w="1530" w:type="dxa"/>
            <w:vAlign w:val="center"/>
          </w:tcPr>
          <w:p w:rsidR="007859C8" w:rsidRPr="000259AD" w:rsidRDefault="00AE35AE" w:rsidP="00CF5992">
            <w:pPr>
              <w:pStyle w:val="NoSpacing"/>
              <w:spacing w:after="0"/>
              <w:jc w:val="center"/>
              <w:rPr>
                <w:sz w:val="24"/>
                <w:szCs w:val="24"/>
              </w:rPr>
            </w:pPr>
            <w:r>
              <w:rPr>
                <w:sz w:val="24"/>
                <w:szCs w:val="24"/>
              </w:rPr>
              <w:t>647,535</w:t>
            </w:r>
          </w:p>
        </w:tc>
        <w:tc>
          <w:tcPr>
            <w:tcW w:w="1530" w:type="dxa"/>
            <w:vAlign w:val="center"/>
          </w:tcPr>
          <w:p w:rsidR="007859C8" w:rsidRPr="000259AD" w:rsidRDefault="00AE35AE" w:rsidP="00CF5992">
            <w:pPr>
              <w:pStyle w:val="NoSpacing"/>
              <w:spacing w:after="0"/>
              <w:jc w:val="center"/>
              <w:rPr>
                <w:sz w:val="24"/>
                <w:szCs w:val="24"/>
              </w:rPr>
            </w:pPr>
            <w:r>
              <w:rPr>
                <w:sz w:val="24"/>
                <w:szCs w:val="24"/>
              </w:rPr>
              <w:t>648,621</w:t>
            </w:r>
          </w:p>
        </w:tc>
        <w:tc>
          <w:tcPr>
            <w:tcW w:w="1430" w:type="dxa"/>
            <w:vAlign w:val="center"/>
          </w:tcPr>
          <w:p w:rsidR="007859C8" w:rsidRPr="000259AD" w:rsidRDefault="00AE35AE" w:rsidP="00CF5992">
            <w:pPr>
              <w:pStyle w:val="NoSpacing"/>
              <w:spacing w:after="0"/>
              <w:jc w:val="center"/>
              <w:rPr>
                <w:sz w:val="24"/>
                <w:szCs w:val="24"/>
              </w:rPr>
            </w:pPr>
            <w:r>
              <w:rPr>
                <w:sz w:val="24"/>
                <w:szCs w:val="24"/>
              </w:rPr>
              <w:t>1,331,682</w:t>
            </w:r>
          </w:p>
        </w:tc>
      </w:tr>
      <w:tr w:rsidR="007859C8" w:rsidRPr="0038283C" w:rsidTr="00FF439F">
        <w:trPr>
          <w:cantSplit/>
          <w:jc w:val="center"/>
        </w:trPr>
        <w:tc>
          <w:tcPr>
            <w:tcW w:w="2905" w:type="dxa"/>
            <w:vAlign w:val="center"/>
          </w:tcPr>
          <w:p w:rsidR="007859C8" w:rsidRPr="000259AD" w:rsidRDefault="007859C8" w:rsidP="00CF5992">
            <w:pPr>
              <w:pStyle w:val="NoSpacing"/>
              <w:spacing w:after="0"/>
              <w:rPr>
                <w:sz w:val="24"/>
                <w:szCs w:val="24"/>
              </w:rPr>
            </w:pPr>
            <w:r w:rsidRPr="000259AD">
              <w:rPr>
                <w:sz w:val="24"/>
                <w:szCs w:val="24"/>
              </w:rPr>
              <w:t>Printing and publications</w:t>
            </w:r>
          </w:p>
        </w:tc>
        <w:tc>
          <w:tcPr>
            <w:tcW w:w="1440" w:type="dxa"/>
            <w:vAlign w:val="center"/>
          </w:tcPr>
          <w:p w:rsidR="007859C8" w:rsidRPr="000259AD" w:rsidRDefault="00D51AB6" w:rsidP="00CF5992">
            <w:pPr>
              <w:pStyle w:val="NoSpacing"/>
              <w:spacing w:after="0"/>
              <w:jc w:val="center"/>
              <w:rPr>
                <w:sz w:val="24"/>
                <w:szCs w:val="24"/>
              </w:rPr>
            </w:pPr>
            <w:r>
              <w:rPr>
                <w:sz w:val="24"/>
                <w:szCs w:val="24"/>
              </w:rPr>
              <w:t>2,558,478</w:t>
            </w:r>
          </w:p>
        </w:tc>
        <w:tc>
          <w:tcPr>
            <w:tcW w:w="1800" w:type="dxa"/>
            <w:vAlign w:val="center"/>
          </w:tcPr>
          <w:p w:rsidR="007859C8" w:rsidRPr="000259AD" w:rsidRDefault="00D51AB6" w:rsidP="00CF5992">
            <w:pPr>
              <w:pStyle w:val="NoSpacing"/>
              <w:spacing w:after="0"/>
              <w:jc w:val="center"/>
              <w:rPr>
                <w:sz w:val="24"/>
                <w:szCs w:val="24"/>
              </w:rPr>
            </w:pPr>
            <w:r>
              <w:rPr>
                <w:sz w:val="24"/>
                <w:szCs w:val="24"/>
              </w:rPr>
              <w:t>67,528</w:t>
            </w:r>
          </w:p>
        </w:tc>
        <w:tc>
          <w:tcPr>
            <w:tcW w:w="1440" w:type="dxa"/>
            <w:vAlign w:val="center"/>
          </w:tcPr>
          <w:p w:rsidR="007859C8" w:rsidRPr="000259AD" w:rsidRDefault="00D51AB6" w:rsidP="00CF5992">
            <w:pPr>
              <w:pStyle w:val="NoSpacing"/>
              <w:spacing w:after="0"/>
              <w:jc w:val="center"/>
              <w:rPr>
                <w:sz w:val="24"/>
                <w:szCs w:val="24"/>
              </w:rPr>
            </w:pPr>
            <w:r>
              <w:rPr>
                <w:sz w:val="24"/>
                <w:szCs w:val="24"/>
              </w:rPr>
              <w:t>24,453</w:t>
            </w:r>
          </w:p>
        </w:tc>
        <w:tc>
          <w:tcPr>
            <w:tcW w:w="1440" w:type="dxa"/>
            <w:vAlign w:val="center"/>
          </w:tcPr>
          <w:p w:rsidR="007859C8" w:rsidRPr="000259AD" w:rsidRDefault="00D51AB6" w:rsidP="00CF5992">
            <w:pPr>
              <w:pStyle w:val="NoSpacing"/>
              <w:spacing w:after="0"/>
              <w:jc w:val="center"/>
              <w:rPr>
                <w:sz w:val="24"/>
                <w:szCs w:val="24"/>
              </w:rPr>
            </w:pPr>
            <w:r>
              <w:rPr>
                <w:sz w:val="24"/>
                <w:szCs w:val="24"/>
              </w:rPr>
              <w:t>2,650,459</w:t>
            </w:r>
          </w:p>
        </w:tc>
        <w:tc>
          <w:tcPr>
            <w:tcW w:w="1655" w:type="dxa"/>
            <w:vAlign w:val="center"/>
          </w:tcPr>
          <w:p w:rsidR="007859C8" w:rsidRPr="000259AD" w:rsidRDefault="00AE35AE" w:rsidP="00CF5992">
            <w:pPr>
              <w:pStyle w:val="NoSpacing"/>
              <w:spacing w:after="0"/>
              <w:jc w:val="center"/>
              <w:rPr>
                <w:sz w:val="24"/>
                <w:szCs w:val="24"/>
              </w:rPr>
            </w:pPr>
            <w:r>
              <w:rPr>
                <w:sz w:val="24"/>
                <w:szCs w:val="24"/>
              </w:rPr>
              <w:t>239</w:t>
            </w:r>
          </w:p>
        </w:tc>
        <w:tc>
          <w:tcPr>
            <w:tcW w:w="1530" w:type="dxa"/>
            <w:vAlign w:val="center"/>
          </w:tcPr>
          <w:p w:rsidR="007859C8" w:rsidRPr="000259AD" w:rsidRDefault="00AE35AE" w:rsidP="00CF5992">
            <w:pPr>
              <w:pStyle w:val="NoSpacing"/>
              <w:spacing w:after="0"/>
              <w:jc w:val="center"/>
              <w:rPr>
                <w:sz w:val="24"/>
                <w:szCs w:val="24"/>
              </w:rPr>
            </w:pPr>
            <w:r>
              <w:rPr>
                <w:sz w:val="24"/>
                <w:szCs w:val="24"/>
              </w:rPr>
              <w:t>606,545</w:t>
            </w:r>
          </w:p>
        </w:tc>
        <w:tc>
          <w:tcPr>
            <w:tcW w:w="1530" w:type="dxa"/>
            <w:vAlign w:val="center"/>
          </w:tcPr>
          <w:p w:rsidR="007859C8" w:rsidRPr="000259AD" w:rsidRDefault="00AE35AE" w:rsidP="00CF5992">
            <w:pPr>
              <w:pStyle w:val="NoSpacing"/>
              <w:spacing w:after="0"/>
              <w:jc w:val="center"/>
              <w:rPr>
                <w:sz w:val="24"/>
                <w:szCs w:val="24"/>
              </w:rPr>
            </w:pPr>
            <w:r>
              <w:rPr>
                <w:sz w:val="24"/>
                <w:szCs w:val="24"/>
              </w:rPr>
              <w:t>606,784</w:t>
            </w:r>
          </w:p>
        </w:tc>
        <w:tc>
          <w:tcPr>
            <w:tcW w:w="1430" w:type="dxa"/>
            <w:vAlign w:val="center"/>
          </w:tcPr>
          <w:p w:rsidR="007859C8" w:rsidRPr="000259AD" w:rsidRDefault="00AE35AE" w:rsidP="00CF5992">
            <w:pPr>
              <w:pStyle w:val="NoSpacing"/>
              <w:spacing w:after="0"/>
              <w:jc w:val="center"/>
              <w:rPr>
                <w:sz w:val="24"/>
                <w:szCs w:val="24"/>
              </w:rPr>
            </w:pPr>
            <w:r>
              <w:rPr>
                <w:sz w:val="24"/>
                <w:szCs w:val="24"/>
              </w:rPr>
              <w:t>3,257,243</w:t>
            </w:r>
          </w:p>
        </w:tc>
      </w:tr>
      <w:tr w:rsidR="007859C8" w:rsidRPr="0038283C" w:rsidTr="00FF439F">
        <w:trPr>
          <w:cantSplit/>
          <w:jc w:val="center"/>
        </w:trPr>
        <w:tc>
          <w:tcPr>
            <w:tcW w:w="2905" w:type="dxa"/>
            <w:vAlign w:val="center"/>
          </w:tcPr>
          <w:p w:rsidR="007859C8" w:rsidRPr="000259AD" w:rsidRDefault="007859C8" w:rsidP="00CF5992">
            <w:pPr>
              <w:pStyle w:val="NoSpacing"/>
              <w:spacing w:after="0"/>
              <w:rPr>
                <w:sz w:val="24"/>
                <w:szCs w:val="24"/>
              </w:rPr>
            </w:pPr>
            <w:r w:rsidRPr="000259AD">
              <w:rPr>
                <w:sz w:val="24"/>
                <w:szCs w:val="24"/>
              </w:rPr>
              <w:t>Travel</w:t>
            </w:r>
          </w:p>
        </w:tc>
        <w:tc>
          <w:tcPr>
            <w:tcW w:w="1440" w:type="dxa"/>
            <w:vAlign w:val="center"/>
          </w:tcPr>
          <w:p w:rsidR="007859C8" w:rsidRPr="000259AD" w:rsidRDefault="00D51AB6" w:rsidP="00CF5992">
            <w:pPr>
              <w:pStyle w:val="NoSpacing"/>
              <w:spacing w:after="0"/>
              <w:jc w:val="center"/>
              <w:rPr>
                <w:sz w:val="24"/>
                <w:szCs w:val="24"/>
              </w:rPr>
            </w:pPr>
            <w:r>
              <w:rPr>
                <w:sz w:val="24"/>
                <w:szCs w:val="24"/>
              </w:rPr>
              <w:t>137,728</w:t>
            </w:r>
          </w:p>
        </w:tc>
        <w:tc>
          <w:tcPr>
            <w:tcW w:w="1800" w:type="dxa"/>
            <w:vAlign w:val="center"/>
          </w:tcPr>
          <w:p w:rsidR="007859C8" w:rsidRPr="000259AD" w:rsidRDefault="00D51AB6" w:rsidP="00CF5992">
            <w:pPr>
              <w:pStyle w:val="NoSpacing"/>
              <w:spacing w:after="0"/>
              <w:jc w:val="center"/>
              <w:rPr>
                <w:sz w:val="24"/>
                <w:szCs w:val="24"/>
              </w:rPr>
            </w:pPr>
            <w:r>
              <w:rPr>
                <w:sz w:val="24"/>
                <w:szCs w:val="24"/>
              </w:rPr>
              <w:t>385,048</w:t>
            </w:r>
          </w:p>
        </w:tc>
        <w:tc>
          <w:tcPr>
            <w:tcW w:w="1440" w:type="dxa"/>
            <w:vAlign w:val="center"/>
          </w:tcPr>
          <w:p w:rsidR="007859C8" w:rsidRPr="000259AD" w:rsidRDefault="00D51AB6" w:rsidP="00CF5992">
            <w:pPr>
              <w:pStyle w:val="NoSpacing"/>
              <w:spacing w:after="0"/>
              <w:jc w:val="center"/>
              <w:rPr>
                <w:sz w:val="24"/>
                <w:szCs w:val="24"/>
              </w:rPr>
            </w:pPr>
            <w:r>
              <w:rPr>
                <w:sz w:val="24"/>
                <w:szCs w:val="24"/>
              </w:rPr>
              <w:t>64,830</w:t>
            </w:r>
          </w:p>
        </w:tc>
        <w:tc>
          <w:tcPr>
            <w:tcW w:w="1440" w:type="dxa"/>
            <w:vAlign w:val="center"/>
          </w:tcPr>
          <w:p w:rsidR="007859C8" w:rsidRPr="000259AD" w:rsidRDefault="00D51AB6" w:rsidP="00CF5992">
            <w:pPr>
              <w:pStyle w:val="NoSpacing"/>
              <w:spacing w:after="0"/>
              <w:jc w:val="center"/>
              <w:rPr>
                <w:sz w:val="24"/>
                <w:szCs w:val="24"/>
              </w:rPr>
            </w:pPr>
            <w:r>
              <w:rPr>
                <w:sz w:val="24"/>
                <w:szCs w:val="24"/>
              </w:rPr>
              <w:t>587,606</w:t>
            </w:r>
          </w:p>
        </w:tc>
        <w:tc>
          <w:tcPr>
            <w:tcW w:w="1655" w:type="dxa"/>
            <w:vAlign w:val="center"/>
          </w:tcPr>
          <w:p w:rsidR="007859C8" w:rsidRPr="000259AD" w:rsidRDefault="00AE35AE" w:rsidP="00CF5992">
            <w:pPr>
              <w:pStyle w:val="NoSpacing"/>
              <w:spacing w:after="0"/>
              <w:jc w:val="center"/>
              <w:rPr>
                <w:sz w:val="24"/>
                <w:szCs w:val="24"/>
              </w:rPr>
            </w:pPr>
            <w:r>
              <w:rPr>
                <w:sz w:val="24"/>
                <w:szCs w:val="24"/>
              </w:rPr>
              <w:t>14,792</w:t>
            </w:r>
          </w:p>
        </w:tc>
        <w:tc>
          <w:tcPr>
            <w:tcW w:w="1530" w:type="dxa"/>
            <w:vAlign w:val="center"/>
          </w:tcPr>
          <w:p w:rsidR="007859C8" w:rsidRPr="000259AD" w:rsidRDefault="00AE35AE" w:rsidP="00CF5992">
            <w:pPr>
              <w:pStyle w:val="NoSpacing"/>
              <w:spacing w:after="0"/>
              <w:jc w:val="center"/>
              <w:rPr>
                <w:sz w:val="24"/>
                <w:szCs w:val="24"/>
              </w:rPr>
            </w:pPr>
            <w:r>
              <w:rPr>
                <w:sz w:val="24"/>
                <w:szCs w:val="24"/>
              </w:rPr>
              <w:t>63</w:t>
            </w:r>
          </w:p>
        </w:tc>
        <w:tc>
          <w:tcPr>
            <w:tcW w:w="1530" w:type="dxa"/>
            <w:vAlign w:val="center"/>
          </w:tcPr>
          <w:p w:rsidR="007859C8" w:rsidRPr="000259AD" w:rsidRDefault="00AE35AE" w:rsidP="00CF5992">
            <w:pPr>
              <w:pStyle w:val="NoSpacing"/>
              <w:spacing w:after="0"/>
              <w:jc w:val="center"/>
              <w:rPr>
                <w:sz w:val="24"/>
                <w:szCs w:val="24"/>
              </w:rPr>
            </w:pPr>
            <w:r>
              <w:rPr>
                <w:sz w:val="24"/>
                <w:szCs w:val="24"/>
              </w:rPr>
              <w:t>14,855</w:t>
            </w:r>
          </w:p>
        </w:tc>
        <w:tc>
          <w:tcPr>
            <w:tcW w:w="1430" w:type="dxa"/>
            <w:vAlign w:val="center"/>
          </w:tcPr>
          <w:p w:rsidR="007859C8" w:rsidRPr="000259AD" w:rsidRDefault="00AE35AE" w:rsidP="00CF5992">
            <w:pPr>
              <w:pStyle w:val="NoSpacing"/>
              <w:spacing w:after="0"/>
              <w:jc w:val="center"/>
              <w:rPr>
                <w:sz w:val="24"/>
                <w:szCs w:val="24"/>
              </w:rPr>
            </w:pPr>
            <w:r>
              <w:rPr>
                <w:sz w:val="24"/>
                <w:szCs w:val="24"/>
              </w:rPr>
              <w:t>602,461</w:t>
            </w:r>
          </w:p>
        </w:tc>
      </w:tr>
      <w:tr w:rsidR="007859C8" w:rsidRPr="0038283C" w:rsidTr="00FF439F">
        <w:trPr>
          <w:cantSplit/>
          <w:jc w:val="center"/>
        </w:trPr>
        <w:tc>
          <w:tcPr>
            <w:tcW w:w="2905" w:type="dxa"/>
            <w:vAlign w:val="center"/>
          </w:tcPr>
          <w:p w:rsidR="007859C8" w:rsidRPr="000259AD" w:rsidRDefault="007859C8" w:rsidP="00CF5992">
            <w:pPr>
              <w:pStyle w:val="NoSpacing"/>
              <w:spacing w:after="0"/>
              <w:rPr>
                <w:sz w:val="24"/>
                <w:szCs w:val="24"/>
              </w:rPr>
            </w:pPr>
            <w:r w:rsidRPr="000259AD">
              <w:rPr>
                <w:sz w:val="24"/>
                <w:szCs w:val="24"/>
              </w:rPr>
              <w:t>Conferences and conventions</w:t>
            </w:r>
          </w:p>
        </w:tc>
        <w:tc>
          <w:tcPr>
            <w:tcW w:w="1440" w:type="dxa"/>
            <w:vAlign w:val="center"/>
          </w:tcPr>
          <w:p w:rsidR="007859C8" w:rsidRPr="000259AD" w:rsidRDefault="00D51AB6" w:rsidP="00CF5992">
            <w:pPr>
              <w:pStyle w:val="NoSpacing"/>
              <w:spacing w:after="0"/>
              <w:jc w:val="center"/>
              <w:rPr>
                <w:sz w:val="24"/>
                <w:szCs w:val="24"/>
              </w:rPr>
            </w:pPr>
            <w:r>
              <w:rPr>
                <w:sz w:val="24"/>
                <w:szCs w:val="24"/>
              </w:rPr>
              <w:t>59,492</w:t>
            </w:r>
          </w:p>
        </w:tc>
        <w:tc>
          <w:tcPr>
            <w:tcW w:w="1800" w:type="dxa"/>
            <w:vAlign w:val="center"/>
          </w:tcPr>
          <w:p w:rsidR="007859C8" w:rsidRPr="000259AD" w:rsidRDefault="00D51AB6" w:rsidP="00CF5992">
            <w:pPr>
              <w:pStyle w:val="NoSpacing"/>
              <w:spacing w:after="0"/>
              <w:jc w:val="center"/>
              <w:rPr>
                <w:sz w:val="24"/>
                <w:szCs w:val="24"/>
              </w:rPr>
            </w:pPr>
            <w:r>
              <w:rPr>
                <w:sz w:val="24"/>
                <w:szCs w:val="24"/>
              </w:rPr>
              <w:t>172,304</w:t>
            </w:r>
          </w:p>
        </w:tc>
        <w:tc>
          <w:tcPr>
            <w:tcW w:w="1440" w:type="dxa"/>
            <w:vAlign w:val="center"/>
          </w:tcPr>
          <w:p w:rsidR="007859C8" w:rsidRPr="000259AD" w:rsidRDefault="00D51AB6" w:rsidP="00CF5992">
            <w:pPr>
              <w:pStyle w:val="NoSpacing"/>
              <w:spacing w:after="0"/>
              <w:jc w:val="center"/>
              <w:rPr>
                <w:sz w:val="24"/>
                <w:szCs w:val="24"/>
              </w:rPr>
            </w:pPr>
            <w:r>
              <w:rPr>
                <w:sz w:val="24"/>
                <w:szCs w:val="24"/>
              </w:rPr>
              <w:t>6,494</w:t>
            </w:r>
          </w:p>
        </w:tc>
        <w:tc>
          <w:tcPr>
            <w:tcW w:w="1440" w:type="dxa"/>
            <w:vAlign w:val="center"/>
          </w:tcPr>
          <w:p w:rsidR="007859C8" w:rsidRPr="000259AD" w:rsidRDefault="00D51AB6" w:rsidP="00CF5992">
            <w:pPr>
              <w:pStyle w:val="NoSpacing"/>
              <w:spacing w:after="0"/>
              <w:jc w:val="center"/>
              <w:rPr>
                <w:sz w:val="24"/>
                <w:szCs w:val="24"/>
              </w:rPr>
            </w:pPr>
            <w:r>
              <w:rPr>
                <w:sz w:val="24"/>
                <w:szCs w:val="24"/>
              </w:rPr>
              <w:t>238,290</w:t>
            </w:r>
          </w:p>
        </w:tc>
        <w:tc>
          <w:tcPr>
            <w:tcW w:w="1655" w:type="dxa"/>
            <w:vAlign w:val="center"/>
          </w:tcPr>
          <w:p w:rsidR="007859C8" w:rsidRPr="000259AD" w:rsidRDefault="00AE35AE" w:rsidP="00CF5992">
            <w:pPr>
              <w:pStyle w:val="NoSpacing"/>
              <w:spacing w:after="0"/>
              <w:jc w:val="center"/>
              <w:rPr>
                <w:sz w:val="24"/>
                <w:szCs w:val="24"/>
              </w:rPr>
            </w:pPr>
            <w:r>
              <w:rPr>
                <w:sz w:val="24"/>
                <w:szCs w:val="24"/>
              </w:rPr>
              <w:t>2,524</w:t>
            </w:r>
          </w:p>
        </w:tc>
        <w:tc>
          <w:tcPr>
            <w:tcW w:w="1530" w:type="dxa"/>
            <w:vAlign w:val="center"/>
          </w:tcPr>
          <w:p w:rsidR="007859C8" w:rsidRPr="000259AD" w:rsidRDefault="00AE35AE" w:rsidP="00CF5992">
            <w:pPr>
              <w:pStyle w:val="NoSpacing"/>
              <w:spacing w:after="0"/>
              <w:jc w:val="center"/>
              <w:rPr>
                <w:sz w:val="24"/>
                <w:szCs w:val="24"/>
              </w:rPr>
            </w:pPr>
            <w:r>
              <w:rPr>
                <w:sz w:val="24"/>
                <w:szCs w:val="24"/>
              </w:rPr>
              <w:t>3,255</w:t>
            </w:r>
          </w:p>
        </w:tc>
        <w:tc>
          <w:tcPr>
            <w:tcW w:w="1530" w:type="dxa"/>
            <w:vAlign w:val="center"/>
          </w:tcPr>
          <w:p w:rsidR="007859C8" w:rsidRPr="000259AD" w:rsidRDefault="00AE35AE" w:rsidP="00CF5992">
            <w:pPr>
              <w:pStyle w:val="NoSpacing"/>
              <w:spacing w:after="0"/>
              <w:jc w:val="center"/>
              <w:rPr>
                <w:sz w:val="24"/>
                <w:szCs w:val="24"/>
              </w:rPr>
            </w:pPr>
            <w:r>
              <w:rPr>
                <w:sz w:val="24"/>
                <w:szCs w:val="24"/>
              </w:rPr>
              <w:t>5,779</w:t>
            </w:r>
          </w:p>
        </w:tc>
        <w:tc>
          <w:tcPr>
            <w:tcW w:w="1430" w:type="dxa"/>
            <w:vAlign w:val="center"/>
          </w:tcPr>
          <w:p w:rsidR="007859C8" w:rsidRPr="000259AD" w:rsidRDefault="00AE35AE" w:rsidP="00CF5992">
            <w:pPr>
              <w:pStyle w:val="NoSpacing"/>
              <w:spacing w:after="0"/>
              <w:jc w:val="center"/>
              <w:rPr>
                <w:sz w:val="24"/>
                <w:szCs w:val="24"/>
              </w:rPr>
            </w:pPr>
            <w:r>
              <w:rPr>
                <w:sz w:val="24"/>
                <w:szCs w:val="24"/>
              </w:rPr>
              <w:t>244,069</w:t>
            </w:r>
          </w:p>
        </w:tc>
      </w:tr>
      <w:tr w:rsidR="007859C8" w:rsidRPr="0038283C" w:rsidTr="00FF439F">
        <w:trPr>
          <w:cantSplit/>
          <w:jc w:val="center"/>
        </w:trPr>
        <w:tc>
          <w:tcPr>
            <w:tcW w:w="2905" w:type="dxa"/>
            <w:vAlign w:val="center"/>
          </w:tcPr>
          <w:p w:rsidR="007859C8" w:rsidRPr="000259AD" w:rsidRDefault="007859C8" w:rsidP="00CF5992">
            <w:pPr>
              <w:pStyle w:val="NoSpacing"/>
              <w:spacing w:after="0"/>
              <w:rPr>
                <w:sz w:val="24"/>
                <w:szCs w:val="24"/>
              </w:rPr>
            </w:pPr>
            <w:r w:rsidRPr="000259AD">
              <w:rPr>
                <w:sz w:val="24"/>
                <w:szCs w:val="24"/>
              </w:rPr>
              <w:t>Professional fees</w:t>
            </w:r>
          </w:p>
        </w:tc>
        <w:tc>
          <w:tcPr>
            <w:tcW w:w="1440" w:type="dxa"/>
            <w:vAlign w:val="center"/>
          </w:tcPr>
          <w:p w:rsidR="007859C8" w:rsidRPr="000259AD" w:rsidRDefault="00D51AB6" w:rsidP="00CF5992">
            <w:pPr>
              <w:pStyle w:val="NoSpacing"/>
              <w:spacing w:after="0"/>
              <w:jc w:val="center"/>
              <w:rPr>
                <w:sz w:val="24"/>
                <w:szCs w:val="24"/>
              </w:rPr>
            </w:pPr>
            <w:r>
              <w:rPr>
                <w:sz w:val="24"/>
                <w:szCs w:val="24"/>
              </w:rPr>
              <w:t>443,826</w:t>
            </w:r>
          </w:p>
        </w:tc>
        <w:tc>
          <w:tcPr>
            <w:tcW w:w="1800" w:type="dxa"/>
            <w:vAlign w:val="center"/>
          </w:tcPr>
          <w:p w:rsidR="007859C8" w:rsidRPr="000259AD" w:rsidRDefault="00D51AB6" w:rsidP="00CF5992">
            <w:pPr>
              <w:pStyle w:val="NoSpacing"/>
              <w:spacing w:after="0"/>
              <w:jc w:val="center"/>
              <w:rPr>
                <w:sz w:val="24"/>
                <w:szCs w:val="24"/>
              </w:rPr>
            </w:pPr>
            <w:r>
              <w:rPr>
                <w:sz w:val="24"/>
                <w:szCs w:val="24"/>
              </w:rPr>
              <w:t>1,926,903</w:t>
            </w:r>
          </w:p>
        </w:tc>
        <w:tc>
          <w:tcPr>
            <w:tcW w:w="1440" w:type="dxa"/>
            <w:vAlign w:val="center"/>
          </w:tcPr>
          <w:p w:rsidR="007859C8" w:rsidRPr="000259AD" w:rsidRDefault="00D51AB6" w:rsidP="00CF5992">
            <w:pPr>
              <w:pStyle w:val="NoSpacing"/>
              <w:spacing w:after="0"/>
              <w:jc w:val="center"/>
              <w:rPr>
                <w:sz w:val="24"/>
                <w:szCs w:val="24"/>
              </w:rPr>
            </w:pPr>
            <w:r>
              <w:rPr>
                <w:sz w:val="24"/>
                <w:szCs w:val="24"/>
              </w:rPr>
              <w:t>431,043</w:t>
            </w:r>
          </w:p>
        </w:tc>
        <w:tc>
          <w:tcPr>
            <w:tcW w:w="1440" w:type="dxa"/>
            <w:vAlign w:val="center"/>
          </w:tcPr>
          <w:p w:rsidR="007859C8" w:rsidRPr="000259AD" w:rsidRDefault="00D51AB6" w:rsidP="00CF5992">
            <w:pPr>
              <w:pStyle w:val="NoSpacing"/>
              <w:spacing w:after="0"/>
              <w:jc w:val="center"/>
              <w:rPr>
                <w:sz w:val="24"/>
                <w:szCs w:val="24"/>
              </w:rPr>
            </w:pPr>
            <w:r>
              <w:rPr>
                <w:sz w:val="24"/>
                <w:szCs w:val="24"/>
              </w:rPr>
              <w:t>2,801,772</w:t>
            </w:r>
          </w:p>
        </w:tc>
        <w:tc>
          <w:tcPr>
            <w:tcW w:w="1655" w:type="dxa"/>
            <w:vAlign w:val="center"/>
          </w:tcPr>
          <w:p w:rsidR="007859C8" w:rsidRPr="000259AD" w:rsidRDefault="00AE35AE" w:rsidP="00CF5992">
            <w:pPr>
              <w:pStyle w:val="NoSpacing"/>
              <w:spacing w:after="0"/>
              <w:jc w:val="center"/>
              <w:rPr>
                <w:sz w:val="24"/>
                <w:szCs w:val="24"/>
              </w:rPr>
            </w:pPr>
            <w:r>
              <w:rPr>
                <w:sz w:val="24"/>
                <w:szCs w:val="24"/>
              </w:rPr>
              <w:t>79,642</w:t>
            </w:r>
          </w:p>
        </w:tc>
        <w:tc>
          <w:tcPr>
            <w:tcW w:w="1530" w:type="dxa"/>
            <w:vAlign w:val="center"/>
          </w:tcPr>
          <w:p w:rsidR="007859C8" w:rsidRPr="000259AD" w:rsidRDefault="00AE35AE" w:rsidP="00CF5992">
            <w:pPr>
              <w:pStyle w:val="NoSpacing"/>
              <w:spacing w:after="0"/>
              <w:jc w:val="center"/>
              <w:rPr>
                <w:sz w:val="24"/>
                <w:szCs w:val="24"/>
              </w:rPr>
            </w:pPr>
            <w:r>
              <w:rPr>
                <w:sz w:val="24"/>
                <w:szCs w:val="24"/>
              </w:rPr>
              <w:t>15,940</w:t>
            </w:r>
          </w:p>
        </w:tc>
        <w:tc>
          <w:tcPr>
            <w:tcW w:w="1530" w:type="dxa"/>
            <w:vAlign w:val="center"/>
          </w:tcPr>
          <w:p w:rsidR="007859C8" w:rsidRPr="000259AD" w:rsidRDefault="00AE35AE" w:rsidP="00CF5992">
            <w:pPr>
              <w:pStyle w:val="NoSpacing"/>
              <w:spacing w:after="0"/>
              <w:jc w:val="center"/>
              <w:rPr>
                <w:sz w:val="24"/>
                <w:szCs w:val="24"/>
              </w:rPr>
            </w:pPr>
            <w:r>
              <w:rPr>
                <w:sz w:val="24"/>
                <w:szCs w:val="24"/>
              </w:rPr>
              <w:t>95,582</w:t>
            </w:r>
          </w:p>
        </w:tc>
        <w:tc>
          <w:tcPr>
            <w:tcW w:w="1430" w:type="dxa"/>
            <w:vAlign w:val="center"/>
          </w:tcPr>
          <w:p w:rsidR="007859C8" w:rsidRPr="000259AD" w:rsidRDefault="00AE35AE" w:rsidP="00CF5992">
            <w:pPr>
              <w:pStyle w:val="NoSpacing"/>
              <w:spacing w:after="0"/>
              <w:jc w:val="center"/>
              <w:rPr>
                <w:sz w:val="24"/>
                <w:szCs w:val="24"/>
              </w:rPr>
            </w:pPr>
            <w:r>
              <w:rPr>
                <w:sz w:val="24"/>
                <w:szCs w:val="24"/>
              </w:rPr>
              <w:t>2,897,354</w:t>
            </w:r>
          </w:p>
        </w:tc>
      </w:tr>
      <w:tr w:rsidR="007859C8" w:rsidRPr="0038283C" w:rsidTr="00FF439F">
        <w:trPr>
          <w:cantSplit/>
          <w:jc w:val="center"/>
        </w:trPr>
        <w:tc>
          <w:tcPr>
            <w:tcW w:w="2905" w:type="dxa"/>
            <w:vAlign w:val="center"/>
          </w:tcPr>
          <w:p w:rsidR="007859C8" w:rsidRPr="000259AD" w:rsidRDefault="007859C8" w:rsidP="00CF5992">
            <w:pPr>
              <w:pStyle w:val="NoSpacing"/>
              <w:spacing w:after="0"/>
              <w:rPr>
                <w:sz w:val="24"/>
                <w:szCs w:val="24"/>
              </w:rPr>
            </w:pPr>
            <w:r w:rsidRPr="000259AD">
              <w:rPr>
                <w:sz w:val="24"/>
                <w:szCs w:val="24"/>
              </w:rPr>
              <w:t>Telephone</w:t>
            </w:r>
          </w:p>
        </w:tc>
        <w:tc>
          <w:tcPr>
            <w:tcW w:w="1440" w:type="dxa"/>
            <w:vAlign w:val="center"/>
          </w:tcPr>
          <w:p w:rsidR="007859C8" w:rsidRPr="000259AD" w:rsidRDefault="00D51AB6" w:rsidP="00CF5992">
            <w:pPr>
              <w:pStyle w:val="NoSpacing"/>
              <w:spacing w:after="0"/>
              <w:jc w:val="center"/>
              <w:rPr>
                <w:sz w:val="24"/>
                <w:szCs w:val="24"/>
              </w:rPr>
            </w:pPr>
            <w:r>
              <w:rPr>
                <w:sz w:val="24"/>
                <w:szCs w:val="24"/>
              </w:rPr>
              <w:t>6,780</w:t>
            </w:r>
          </w:p>
        </w:tc>
        <w:tc>
          <w:tcPr>
            <w:tcW w:w="1800" w:type="dxa"/>
            <w:vAlign w:val="center"/>
          </w:tcPr>
          <w:p w:rsidR="007859C8" w:rsidRPr="000259AD" w:rsidRDefault="00D51AB6" w:rsidP="00CF5992">
            <w:pPr>
              <w:pStyle w:val="NoSpacing"/>
              <w:spacing w:after="0"/>
              <w:jc w:val="center"/>
              <w:rPr>
                <w:sz w:val="24"/>
                <w:szCs w:val="24"/>
              </w:rPr>
            </w:pPr>
            <w:r>
              <w:rPr>
                <w:sz w:val="24"/>
                <w:szCs w:val="24"/>
              </w:rPr>
              <w:t>5,086</w:t>
            </w:r>
          </w:p>
        </w:tc>
        <w:tc>
          <w:tcPr>
            <w:tcW w:w="1440" w:type="dxa"/>
            <w:vAlign w:val="center"/>
          </w:tcPr>
          <w:p w:rsidR="007859C8" w:rsidRPr="000259AD" w:rsidRDefault="00D51AB6" w:rsidP="00CF5992">
            <w:pPr>
              <w:pStyle w:val="NoSpacing"/>
              <w:spacing w:after="0"/>
              <w:jc w:val="center"/>
              <w:rPr>
                <w:sz w:val="24"/>
                <w:szCs w:val="24"/>
              </w:rPr>
            </w:pPr>
            <w:r>
              <w:rPr>
                <w:sz w:val="24"/>
                <w:szCs w:val="24"/>
              </w:rPr>
              <w:t>4,783</w:t>
            </w:r>
          </w:p>
        </w:tc>
        <w:tc>
          <w:tcPr>
            <w:tcW w:w="1440" w:type="dxa"/>
            <w:vAlign w:val="center"/>
          </w:tcPr>
          <w:p w:rsidR="007859C8" w:rsidRPr="000259AD" w:rsidRDefault="00D51AB6" w:rsidP="00CF5992">
            <w:pPr>
              <w:pStyle w:val="NoSpacing"/>
              <w:spacing w:after="0"/>
              <w:jc w:val="center"/>
              <w:rPr>
                <w:sz w:val="24"/>
                <w:szCs w:val="24"/>
              </w:rPr>
            </w:pPr>
            <w:r>
              <w:rPr>
                <w:sz w:val="24"/>
                <w:szCs w:val="24"/>
              </w:rPr>
              <w:t>16,649</w:t>
            </w:r>
          </w:p>
        </w:tc>
        <w:tc>
          <w:tcPr>
            <w:tcW w:w="1655" w:type="dxa"/>
            <w:vAlign w:val="center"/>
          </w:tcPr>
          <w:p w:rsidR="007859C8" w:rsidRPr="000259AD" w:rsidRDefault="00AE35AE" w:rsidP="00CF5992">
            <w:pPr>
              <w:pStyle w:val="NoSpacing"/>
              <w:spacing w:after="0"/>
              <w:jc w:val="center"/>
              <w:rPr>
                <w:sz w:val="24"/>
                <w:szCs w:val="24"/>
              </w:rPr>
            </w:pPr>
            <w:r>
              <w:rPr>
                <w:sz w:val="24"/>
                <w:szCs w:val="24"/>
              </w:rPr>
              <w:t>803</w:t>
            </w:r>
          </w:p>
        </w:tc>
        <w:tc>
          <w:tcPr>
            <w:tcW w:w="1530" w:type="dxa"/>
            <w:vAlign w:val="center"/>
          </w:tcPr>
          <w:p w:rsidR="007859C8" w:rsidRPr="000259AD" w:rsidRDefault="00AE35AE" w:rsidP="00CF5992">
            <w:pPr>
              <w:pStyle w:val="NoSpacing"/>
              <w:spacing w:after="0"/>
              <w:jc w:val="center"/>
              <w:rPr>
                <w:sz w:val="24"/>
                <w:szCs w:val="24"/>
              </w:rPr>
            </w:pPr>
            <w:r>
              <w:rPr>
                <w:sz w:val="24"/>
                <w:szCs w:val="24"/>
              </w:rPr>
              <w:t>93</w:t>
            </w:r>
          </w:p>
        </w:tc>
        <w:tc>
          <w:tcPr>
            <w:tcW w:w="1530" w:type="dxa"/>
            <w:vAlign w:val="center"/>
          </w:tcPr>
          <w:p w:rsidR="007859C8" w:rsidRPr="000259AD" w:rsidRDefault="00AE35AE" w:rsidP="00CF5992">
            <w:pPr>
              <w:pStyle w:val="NoSpacing"/>
              <w:spacing w:after="0"/>
              <w:jc w:val="center"/>
              <w:rPr>
                <w:sz w:val="24"/>
                <w:szCs w:val="24"/>
              </w:rPr>
            </w:pPr>
            <w:r>
              <w:rPr>
                <w:sz w:val="24"/>
                <w:szCs w:val="24"/>
              </w:rPr>
              <w:t>896</w:t>
            </w:r>
          </w:p>
        </w:tc>
        <w:tc>
          <w:tcPr>
            <w:tcW w:w="1430" w:type="dxa"/>
            <w:vAlign w:val="center"/>
          </w:tcPr>
          <w:p w:rsidR="007859C8" w:rsidRPr="000259AD" w:rsidRDefault="00AE35AE" w:rsidP="00CF5992">
            <w:pPr>
              <w:pStyle w:val="NoSpacing"/>
              <w:spacing w:after="0"/>
              <w:jc w:val="center"/>
              <w:rPr>
                <w:sz w:val="24"/>
                <w:szCs w:val="24"/>
              </w:rPr>
            </w:pPr>
            <w:r>
              <w:rPr>
                <w:sz w:val="24"/>
                <w:szCs w:val="24"/>
              </w:rPr>
              <w:t>17,545</w:t>
            </w:r>
          </w:p>
        </w:tc>
      </w:tr>
      <w:tr w:rsidR="007859C8" w:rsidRPr="0038283C" w:rsidTr="00FF439F">
        <w:trPr>
          <w:cantSplit/>
          <w:jc w:val="center"/>
        </w:trPr>
        <w:tc>
          <w:tcPr>
            <w:tcW w:w="2905" w:type="dxa"/>
            <w:vAlign w:val="center"/>
          </w:tcPr>
          <w:p w:rsidR="007859C8" w:rsidRPr="000259AD" w:rsidRDefault="00D51AB6" w:rsidP="00CF5992">
            <w:pPr>
              <w:pStyle w:val="NoSpacing"/>
              <w:spacing w:after="0"/>
              <w:rPr>
                <w:sz w:val="24"/>
                <w:szCs w:val="24"/>
              </w:rPr>
            </w:pPr>
            <w:r>
              <w:rPr>
                <w:sz w:val="24"/>
                <w:szCs w:val="24"/>
              </w:rPr>
              <w:t>Occupancy</w:t>
            </w:r>
          </w:p>
        </w:tc>
        <w:tc>
          <w:tcPr>
            <w:tcW w:w="1440" w:type="dxa"/>
            <w:vAlign w:val="center"/>
          </w:tcPr>
          <w:p w:rsidR="007859C8" w:rsidRPr="000259AD" w:rsidRDefault="00D51AB6" w:rsidP="00CF5992">
            <w:pPr>
              <w:pStyle w:val="NoSpacing"/>
              <w:spacing w:after="0"/>
              <w:jc w:val="center"/>
              <w:rPr>
                <w:sz w:val="24"/>
                <w:szCs w:val="24"/>
              </w:rPr>
            </w:pPr>
            <w:r>
              <w:rPr>
                <w:sz w:val="24"/>
                <w:szCs w:val="24"/>
              </w:rPr>
              <w:t>163,023</w:t>
            </w:r>
          </w:p>
        </w:tc>
        <w:tc>
          <w:tcPr>
            <w:tcW w:w="1800" w:type="dxa"/>
            <w:vAlign w:val="center"/>
          </w:tcPr>
          <w:p w:rsidR="007859C8" w:rsidRPr="000259AD" w:rsidRDefault="00D51AB6" w:rsidP="00CF5992">
            <w:pPr>
              <w:pStyle w:val="NoSpacing"/>
              <w:spacing w:after="0"/>
              <w:jc w:val="center"/>
              <w:rPr>
                <w:sz w:val="24"/>
                <w:szCs w:val="24"/>
              </w:rPr>
            </w:pPr>
            <w:r>
              <w:rPr>
                <w:sz w:val="24"/>
                <w:szCs w:val="24"/>
              </w:rPr>
              <w:t>120,259</w:t>
            </w:r>
          </w:p>
        </w:tc>
        <w:tc>
          <w:tcPr>
            <w:tcW w:w="1440" w:type="dxa"/>
            <w:vAlign w:val="center"/>
          </w:tcPr>
          <w:p w:rsidR="007859C8" w:rsidRPr="000259AD" w:rsidRDefault="00D51AB6" w:rsidP="00CF5992">
            <w:pPr>
              <w:pStyle w:val="NoSpacing"/>
              <w:spacing w:after="0"/>
              <w:jc w:val="center"/>
              <w:rPr>
                <w:sz w:val="24"/>
                <w:szCs w:val="24"/>
              </w:rPr>
            </w:pPr>
            <w:r>
              <w:rPr>
                <w:sz w:val="24"/>
                <w:szCs w:val="24"/>
              </w:rPr>
              <w:t>148,768</w:t>
            </w:r>
          </w:p>
        </w:tc>
        <w:tc>
          <w:tcPr>
            <w:tcW w:w="1440" w:type="dxa"/>
            <w:vAlign w:val="center"/>
          </w:tcPr>
          <w:p w:rsidR="007859C8" w:rsidRPr="000259AD" w:rsidRDefault="00D51AB6" w:rsidP="00CF5992">
            <w:pPr>
              <w:pStyle w:val="NoSpacing"/>
              <w:spacing w:after="0"/>
              <w:jc w:val="center"/>
              <w:rPr>
                <w:sz w:val="24"/>
                <w:szCs w:val="24"/>
              </w:rPr>
            </w:pPr>
            <w:r>
              <w:rPr>
                <w:sz w:val="24"/>
                <w:szCs w:val="24"/>
              </w:rPr>
              <w:t>432,050</w:t>
            </w:r>
          </w:p>
        </w:tc>
        <w:tc>
          <w:tcPr>
            <w:tcW w:w="1655" w:type="dxa"/>
            <w:vAlign w:val="center"/>
          </w:tcPr>
          <w:p w:rsidR="007859C8" w:rsidRPr="000259AD" w:rsidRDefault="00AE35AE" w:rsidP="00CF5992">
            <w:pPr>
              <w:pStyle w:val="NoSpacing"/>
              <w:spacing w:after="0"/>
              <w:jc w:val="center"/>
              <w:rPr>
                <w:sz w:val="24"/>
                <w:szCs w:val="24"/>
              </w:rPr>
            </w:pPr>
            <w:r>
              <w:rPr>
                <w:sz w:val="24"/>
                <w:szCs w:val="24"/>
              </w:rPr>
              <w:t>12,765</w:t>
            </w:r>
          </w:p>
        </w:tc>
        <w:tc>
          <w:tcPr>
            <w:tcW w:w="1530" w:type="dxa"/>
            <w:vAlign w:val="center"/>
          </w:tcPr>
          <w:p w:rsidR="007859C8" w:rsidRPr="000259AD" w:rsidRDefault="00AE35AE" w:rsidP="00CF5992">
            <w:pPr>
              <w:pStyle w:val="NoSpacing"/>
              <w:spacing w:after="0"/>
              <w:jc w:val="center"/>
              <w:rPr>
                <w:sz w:val="24"/>
                <w:szCs w:val="24"/>
              </w:rPr>
            </w:pPr>
            <w:r>
              <w:rPr>
                <w:sz w:val="24"/>
                <w:szCs w:val="24"/>
              </w:rPr>
              <w:t>3,564</w:t>
            </w:r>
          </w:p>
        </w:tc>
        <w:tc>
          <w:tcPr>
            <w:tcW w:w="1530" w:type="dxa"/>
            <w:vAlign w:val="center"/>
          </w:tcPr>
          <w:p w:rsidR="007859C8" w:rsidRPr="000259AD" w:rsidRDefault="00AE35AE" w:rsidP="00CF5992">
            <w:pPr>
              <w:pStyle w:val="NoSpacing"/>
              <w:spacing w:after="0"/>
              <w:jc w:val="center"/>
              <w:rPr>
                <w:sz w:val="24"/>
                <w:szCs w:val="24"/>
              </w:rPr>
            </w:pPr>
            <w:r>
              <w:rPr>
                <w:sz w:val="24"/>
                <w:szCs w:val="24"/>
              </w:rPr>
              <w:t>16,329</w:t>
            </w:r>
          </w:p>
        </w:tc>
        <w:tc>
          <w:tcPr>
            <w:tcW w:w="1430" w:type="dxa"/>
            <w:vAlign w:val="center"/>
          </w:tcPr>
          <w:p w:rsidR="007859C8" w:rsidRPr="000259AD" w:rsidRDefault="00AE35AE" w:rsidP="00CF5992">
            <w:pPr>
              <w:pStyle w:val="NoSpacing"/>
              <w:spacing w:after="0"/>
              <w:jc w:val="center"/>
              <w:rPr>
                <w:sz w:val="24"/>
                <w:szCs w:val="24"/>
              </w:rPr>
            </w:pPr>
            <w:r>
              <w:rPr>
                <w:sz w:val="24"/>
                <w:szCs w:val="24"/>
              </w:rPr>
              <w:t>448,379</w:t>
            </w:r>
          </w:p>
        </w:tc>
      </w:tr>
      <w:tr w:rsidR="007859C8" w:rsidRPr="0038283C" w:rsidTr="00FF439F">
        <w:trPr>
          <w:cantSplit/>
          <w:trHeight w:val="413"/>
          <w:jc w:val="center"/>
        </w:trPr>
        <w:tc>
          <w:tcPr>
            <w:tcW w:w="2905" w:type="dxa"/>
            <w:vAlign w:val="center"/>
          </w:tcPr>
          <w:p w:rsidR="007859C8" w:rsidRPr="000259AD" w:rsidRDefault="00D51AB6" w:rsidP="00CF5992">
            <w:pPr>
              <w:pStyle w:val="NoSpacing"/>
              <w:spacing w:after="0"/>
              <w:rPr>
                <w:sz w:val="24"/>
                <w:szCs w:val="24"/>
              </w:rPr>
            </w:pPr>
            <w:r>
              <w:rPr>
                <w:sz w:val="24"/>
                <w:szCs w:val="24"/>
              </w:rPr>
              <w:t>Donated media</w:t>
            </w:r>
          </w:p>
        </w:tc>
        <w:tc>
          <w:tcPr>
            <w:tcW w:w="1440" w:type="dxa"/>
            <w:vAlign w:val="center"/>
          </w:tcPr>
          <w:p w:rsidR="007859C8" w:rsidRPr="000259AD" w:rsidRDefault="00D51AB6" w:rsidP="00CF5992">
            <w:pPr>
              <w:pStyle w:val="NoSpacing"/>
              <w:spacing w:after="0"/>
              <w:jc w:val="center"/>
              <w:rPr>
                <w:sz w:val="24"/>
                <w:szCs w:val="24"/>
              </w:rPr>
            </w:pPr>
            <w:r>
              <w:rPr>
                <w:sz w:val="24"/>
                <w:szCs w:val="24"/>
              </w:rPr>
              <w:t>1,423,376</w:t>
            </w:r>
          </w:p>
        </w:tc>
        <w:tc>
          <w:tcPr>
            <w:tcW w:w="1800" w:type="dxa"/>
            <w:vAlign w:val="center"/>
          </w:tcPr>
          <w:p w:rsidR="007859C8" w:rsidRPr="000259AD" w:rsidRDefault="00284AE3" w:rsidP="00CF5992">
            <w:pPr>
              <w:pStyle w:val="NoSpacing"/>
              <w:spacing w:after="0"/>
              <w:jc w:val="center"/>
              <w:rPr>
                <w:sz w:val="24"/>
                <w:szCs w:val="24"/>
              </w:rPr>
            </w:pPr>
            <w:r w:rsidRPr="000259AD">
              <w:rPr>
                <w:sz w:val="24"/>
                <w:szCs w:val="24"/>
              </w:rPr>
              <w:t>--</w:t>
            </w:r>
          </w:p>
        </w:tc>
        <w:tc>
          <w:tcPr>
            <w:tcW w:w="1440" w:type="dxa"/>
            <w:vAlign w:val="center"/>
          </w:tcPr>
          <w:p w:rsidR="007859C8" w:rsidRPr="000259AD" w:rsidRDefault="00284AE3" w:rsidP="00CF5992">
            <w:pPr>
              <w:pStyle w:val="NoSpacing"/>
              <w:spacing w:after="0"/>
              <w:jc w:val="center"/>
              <w:rPr>
                <w:sz w:val="24"/>
                <w:szCs w:val="24"/>
              </w:rPr>
            </w:pPr>
            <w:r w:rsidRPr="000259AD">
              <w:rPr>
                <w:sz w:val="24"/>
                <w:szCs w:val="24"/>
              </w:rPr>
              <w:t>--</w:t>
            </w:r>
          </w:p>
        </w:tc>
        <w:tc>
          <w:tcPr>
            <w:tcW w:w="1440" w:type="dxa"/>
            <w:vAlign w:val="center"/>
          </w:tcPr>
          <w:p w:rsidR="007859C8" w:rsidRPr="000259AD" w:rsidRDefault="00D51AB6" w:rsidP="00CF5992">
            <w:pPr>
              <w:pStyle w:val="NoSpacing"/>
              <w:spacing w:after="0"/>
              <w:jc w:val="center"/>
              <w:rPr>
                <w:sz w:val="24"/>
                <w:szCs w:val="24"/>
              </w:rPr>
            </w:pPr>
            <w:r>
              <w:rPr>
                <w:sz w:val="24"/>
                <w:szCs w:val="24"/>
              </w:rPr>
              <w:t>1,423,376</w:t>
            </w:r>
          </w:p>
        </w:tc>
        <w:tc>
          <w:tcPr>
            <w:tcW w:w="1655" w:type="dxa"/>
            <w:vAlign w:val="center"/>
          </w:tcPr>
          <w:p w:rsidR="007859C8" w:rsidRPr="000259AD" w:rsidRDefault="00DF4846" w:rsidP="00CF5992">
            <w:pPr>
              <w:pStyle w:val="NoSpacing"/>
              <w:spacing w:after="0"/>
              <w:jc w:val="center"/>
              <w:rPr>
                <w:sz w:val="24"/>
                <w:szCs w:val="24"/>
              </w:rPr>
            </w:pPr>
            <w:r w:rsidRPr="000259AD">
              <w:rPr>
                <w:sz w:val="24"/>
                <w:szCs w:val="24"/>
              </w:rPr>
              <w:t>--</w:t>
            </w:r>
          </w:p>
        </w:tc>
        <w:tc>
          <w:tcPr>
            <w:tcW w:w="1530" w:type="dxa"/>
            <w:vAlign w:val="center"/>
          </w:tcPr>
          <w:p w:rsidR="007859C8" w:rsidRPr="000259AD" w:rsidRDefault="00DF4846" w:rsidP="00CF5992">
            <w:pPr>
              <w:pStyle w:val="NoSpacing"/>
              <w:spacing w:after="0"/>
              <w:jc w:val="center"/>
              <w:rPr>
                <w:sz w:val="24"/>
                <w:szCs w:val="24"/>
              </w:rPr>
            </w:pPr>
            <w:r w:rsidRPr="000259AD">
              <w:rPr>
                <w:sz w:val="24"/>
                <w:szCs w:val="24"/>
              </w:rPr>
              <w:t>--</w:t>
            </w:r>
          </w:p>
        </w:tc>
        <w:tc>
          <w:tcPr>
            <w:tcW w:w="1530" w:type="dxa"/>
            <w:vAlign w:val="center"/>
          </w:tcPr>
          <w:p w:rsidR="007859C8" w:rsidRPr="000259AD" w:rsidRDefault="00DF4846" w:rsidP="00CF5992">
            <w:pPr>
              <w:pStyle w:val="NoSpacing"/>
              <w:spacing w:after="0"/>
              <w:jc w:val="center"/>
              <w:rPr>
                <w:sz w:val="24"/>
                <w:szCs w:val="24"/>
              </w:rPr>
            </w:pPr>
            <w:r w:rsidRPr="000259AD">
              <w:rPr>
                <w:sz w:val="24"/>
                <w:szCs w:val="24"/>
              </w:rPr>
              <w:t>--</w:t>
            </w:r>
          </w:p>
        </w:tc>
        <w:tc>
          <w:tcPr>
            <w:tcW w:w="1430" w:type="dxa"/>
            <w:vAlign w:val="center"/>
          </w:tcPr>
          <w:p w:rsidR="007859C8" w:rsidRPr="000259AD" w:rsidRDefault="00AE35AE" w:rsidP="00CF5992">
            <w:pPr>
              <w:pStyle w:val="NoSpacing"/>
              <w:spacing w:after="0"/>
              <w:jc w:val="center"/>
              <w:rPr>
                <w:sz w:val="24"/>
                <w:szCs w:val="24"/>
              </w:rPr>
            </w:pPr>
            <w:r>
              <w:rPr>
                <w:sz w:val="24"/>
                <w:szCs w:val="24"/>
              </w:rPr>
              <w:t>1,423,376</w:t>
            </w:r>
          </w:p>
        </w:tc>
      </w:tr>
      <w:tr w:rsidR="00AE35AE" w:rsidRPr="0038283C" w:rsidTr="00FF439F">
        <w:trPr>
          <w:cantSplit/>
          <w:trHeight w:val="395"/>
          <w:jc w:val="center"/>
        </w:trPr>
        <w:tc>
          <w:tcPr>
            <w:tcW w:w="2905" w:type="dxa"/>
            <w:vAlign w:val="center"/>
          </w:tcPr>
          <w:p w:rsidR="00AE35AE" w:rsidRPr="000259AD" w:rsidRDefault="00AE35AE" w:rsidP="00CF5992">
            <w:pPr>
              <w:pStyle w:val="NoSpacing"/>
              <w:spacing w:after="0"/>
              <w:rPr>
                <w:sz w:val="24"/>
                <w:szCs w:val="24"/>
              </w:rPr>
            </w:pPr>
            <w:r w:rsidRPr="000259AD">
              <w:rPr>
                <w:sz w:val="24"/>
                <w:szCs w:val="24"/>
              </w:rPr>
              <w:t>Awards and grants</w:t>
            </w:r>
          </w:p>
        </w:tc>
        <w:tc>
          <w:tcPr>
            <w:tcW w:w="1440" w:type="dxa"/>
            <w:vAlign w:val="center"/>
          </w:tcPr>
          <w:p w:rsidR="00AE35AE" w:rsidRPr="000259AD" w:rsidRDefault="00AE35AE" w:rsidP="00CF5992">
            <w:pPr>
              <w:pStyle w:val="NoSpacing"/>
              <w:spacing w:after="0"/>
              <w:jc w:val="center"/>
              <w:rPr>
                <w:sz w:val="24"/>
                <w:szCs w:val="24"/>
              </w:rPr>
            </w:pPr>
            <w:r>
              <w:rPr>
                <w:sz w:val="24"/>
                <w:szCs w:val="24"/>
              </w:rPr>
              <w:t>43,250</w:t>
            </w:r>
          </w:p>
        </w:tc>
        <w:tc>
          <w:tcPr>
            <w:tcW w:w="1800" w:type="dxa"/>
            <w:vAlign w:val="center"/>
          </w:tcPr>
          <w:p w:rsidR="00AE35AE" w:rsidRPr="000259AD" w:rsidRDefault="00AE35AE" w:rsidP="00CF5992">
            <w:pPr>
              <w:pStyle w:val="NoSpacing"/>
              <w:spacing w:after="0"/>
              <w:jc w:val="center"/>
              <w:rPr>
                <w:sz w:val="24"/>
                <w:szCs w:val="24"/>
              </w:rPr>
            </w:pPr>
            <w:r>
              <w:rPr>
                <w:sz w:val="24"/>
                <w:szCs w:val="24"/>
              </w:rPr>
              <w:t>237,329</w:t>
            </w:r>
          </w:p>
        </w:tc>
        <w:tc>
          <w:tcPr>
            <w:tcW w:w="1440" w:type="dxa"/>
            <w:vAlign w:val="center"/>
          </w:tcPr>
          <w:p w:rsidR="00AE35AE" w:rsidRPr="000259AD" w:rsidRDefault="00AE35AE" w:rsidP="00CF5992">
            <w:pPr>
              <w:pStyle w:val="NoSpacing"/>
              <w:spacing w:after="0"/>
              <w:jc w:val="center"/>
              <w:rPr>
                <w:sz w:val="24"/>
                <w:szCs w:val="24"/>
              </w:rPr>
            </w:pPr>
            <w:r>
              <w:rPr>
                <w:sz w:val="24"/>
                <w:szCs w:val="24"/>
              </w:rPr>
              <w:t>277,500</w:t>
            </w:r>
          </w:p>
        </w:tc>
        <w:tc>
          <w:tcPr>
            <w:tcW w:w="1440" w:type="dxa"/>
            <w:vAlign w:val="center"/>
          </w:tcPr>
          <w:p w:rsidR="00AE35AE" w:rsidRPr="000259AD" w:rsidRDefault="00AE35AE" w:rsidP="00CF5992">
            <w:pPr>
              <w:pStyle w:val="NoSpacing"/>
              <w:spacing w:after="0"/>
              <w:jc w:val="center"/>
              <w:rPr>
                <w:sz w:val="24"/>
                <w:szCs w:val="24"/>
              </w:rPr>
            </w:pPr>
            <w:r>
              <w:rPr>
                <w:sz w:val="24"/>
                <w:szCs w:val="24"/>
              </w:rPr>
              <w:t>558,079</w:t>
            </w:r>
          </w:p>
        </w:tc>
        <w:tc>
          <w:tcPr>
            <w:tcW w:w="1655" w:type="dxa"/>
            <w:vAlign w:val="center"/>
          </w:tcPr>
          <w:p w:rsidR="00AE35AE" w:rsidRPr="000259AD" w:rsidRDefault="00AE35AE" w:rsidP="00CF5992">
            <w:pPr>
              <w:pStyle w:val="NoSpacing"/>
              <w:spacing w:after="0"/>
              <w:jc w:val="center"/>
              <w:rPr>
                <w:sz w:val="24"/>
                <w:szCs w:val="24"/>
              </w:rPr>
            </w:pPr>
            <w:r w:rsidRPr="000259AD">
              <w:rPr>
                <w:sz w:val="24"/>
                <w:szCs w:val="24"/>
              </w:rPr>
              <w:t>--</w:t>
            </w:r>
          </w:p>
        </w:tc>
        <w:tc>
          <w:tcPr>
            <w:tcW w:w="1530" w:type="dxa"/>
            <w:vAlign w:val="center"/>
          </w:tcPr>
          <w:p w:rsidR="00AE35AE" w:rsidRPr="000259AD" w:rsidRDefault="00AE35AE" w:rsidP="00CF5992">
            <w:pPr>
              <w:pStyle w:val="NoSpacing"/>
              <w:spacing w:after="0"/>
              <w:jc w:val="center"/>
              <w:rPr>
                <w:sz w:val="24"/>
                <w:szCs w:val="24"/>
              </w:rPr>
            </w:pPr>
            <w:r w:rsidRPr="000259AD">
              <w:rPr>
                <w:sz w:val="24"/>
                <w:szCs w:val="24"/>
              </w:rPr>
              <w:t>--</w:t>
            </w:r>
          </w:p>
        </w:tc>
        <w:tc>
          <w:tcPr>
            <w:tcW w:w="1530" w:type="dxa"/>
            <w:vAlign w:val="center"/>
          </w:tcPr>
          <w:p w:rsidR="00AE35AE" w:rsidRPr="000259AD" w:rsidRDefault="00AE35AE" w:rsidP="00CF5992">
            <w:pPr>
              <w:pStyle w:val="NoSpacing"/>
              <w:spacing w:after="0"/>
              <w:jc w:val="center"/>
              <w:rPr>
                <w:sz w:val="24"/>
                <w:szCs w:val="24"/>
              </w:rPr>
            </w:pPr>
            <w:r w:rsidRPr="000259AD">
              <w:rPr>
                <w:sz w:val="24"/>
                <w:szCs w:val="24"/>
              </w:rPr>
              <w:t>--</w:t>
            </w:r>
          </w:p>
        </w:tc>
        <w:tc>
          <w:tcPr>
            <w:tcW w:w="1430" w:type="dxa"/>
            <w:vAlign w:val="center"/>
          </w:tcPr>
          <w:p w:rsidR="00AE35AE" w:rsidRPr="000259AD" w:rsidRDefault="00AE35AE" w:rsidP="00F208E3">
            <w:pPr>
              <w:pStyle w:val="NoSpacing"/>
              <w:spacing w:after="0"/>
              <w:jc w:val="center"/>
              <w:rPr>
                <w:sz w:val="24"/>
                <w:szCs w:val="24"/>
              </w:rPr>
            </w:pPr>
            <w:r>
              <w:rPr>
                <w:sz w:val="24"/>
                <w:szCs w:val="24"/>
              </w:rPr>
              <w:t>558,079</w:t>
            </w:r>
          </w:p>
        </w:tc>
      </w:tr>
      <w:tr w:rsidR="007859C8" w:rsidRPr="0038283C" w:rsidTr="00FF439F">
        <w:trPr>
          <w:cantSplit/>
          <w:trHeight w:val="377"/>
          <w:jc w:val="center"/>
        </w:trPr>
        <w:tc>
          <w:tcPr>
            <w:tcW w:w="2905" w:type="dxa"/>
            <w:vAlign w:val="center"/>
          </w:tcPr>
          <w:p w:rsidR="007859C8" w:rsidRPr="000259AD" w:rsidRDefault="007859C8" w:rsidP="00CF5992">
            <w:pPr>
              <w:pStyle w:val="NoSpacing"/>
              <w:spacing w:after="0"/>
              <w:rPr>
                <w:sz w:val="24"/>
                <w:szCs w:val="24"/>
              </w:rPr>
            </w:pPr>
            <w:r w:rsidRPr="000259AD">
              <w:rPr>
                <w:sz w:val="24"/>
                <w:szCs w:val="24"/>
              </w:rPr>
              <w:t>Information technology</w:t>
            </w:r>
          </w:p>
        </w:tc>
        <w:tc>
          <w:tcPr>
            <w:tcW w:w="1440" w:type="dxa"/>
            <w:vAlign w:val="center"/>
          </w:tcPr>
          <w:p w:rsidR="007859C8" w:rsidRPr="000259AD" w:rsidRDefault="00D51AB6" w:rsidP="00CF5992">
            <w:pPr>
              <w:pStyle w:val="NoSpacing"/>
              <w:spacing w:after="0"/>
              <w:jc w:val="center"/>
              <w:rPr>
                <w:sz w:val="24"/>
                <w:szCs w:val="24"/>
              </w:rPr>
            </w:pPr>
            <w:r>
              <w:rPr>
                <w:sz w:val="24"/>
                <w:szCs w:val="24"/>
              </w:rPr>
              <w:t>202,571</w:t>
            </w:r>
          </w:p>
        </w:tc>
        <w:tc>
          <w:tcPr>
            <w:tcW w:w="1800" w:type="dxa"/>
            <w:vAlign w:val="center"/>
          </w:tcPr>
          <w:p w:rsidR="007859C8" w:rsidRPr="000259AD" w:rsidRDefault="00D51AB6" w:rsidP="00CF5992">
            <w:pPr>
              <w:pStyle w:val="NoSpacing"/>
              <w:spacing w:after="0"/>
              <w:jc w:val="center"/>
              <w:rPr>
                <w:sz w:val="24"/>
                <w:szCs w:val="24"/>
              </w:rPr>
            </w:pPr>
            <w:r>
              <w:rPr>
                <w:sz w:val="24"/>
                <w:szCs w:val="24"/>
              </w:rPr>
              <w:t>201,664</w:t>
            </w:r>
          </w:p>
        </w:tc>
        <w:tc>
          <w:tcPr>
            <w:tcW w:w="1440" w:type="dxa"/>
            <w:vAlign w:val="center"/>
          </w:tcPr>
          <w:p w:rsidR="007859C8" w:rsidRPr="000259AD" w:rsidRDefault="00D51AB6" w:rsidP="00CF5992">
            <w:pPr>
              <w:pStyle w:val="NoSpacing"/>
              <w:spacing w:after="0"/>
              <w:jc w:val="center"/>
              <w:rPr>
                <w:sz w:val="24"/>
                <w:szCs w:val="24"/>
              </w:rPr>
            </w:pPr>
            <w:r>
              <w:rPr>
                <w:sz w:val="24"/>
                <w:szCs w:val="24"/>
              </w:rPr>
              <w:t>1,199,899</w:t>
            </w:r>
          </w:p>
        </w:tc>
        <w:tc>
          <w:tcPr>
            <w:tcW w:w="1440" w:type="dxa"/>
            <w:vAlign w:val="center"/>
          </w:tcPr>
          <w:p w:rsidR="007859C8" w:rsidRPr="000259AD" w:rsidRDefault="00D51AB6" w:rsidP="00CF5992">
            <w:pPr>
              <w:pStyle w:val="NoSpacing"/>
              <w:spacing w:after="0"/>
              <w:jc w:val="center"/>
              <w:rPr>
                <w:sz w:val="24"/>
                <w:szCs w:val="24"/>
              </w:rPr>
            </w:pPr>
            <w:r>
              <w:rPr>
                <w:sz w:val="24"/>
                <w:szCs w:val="24"/>
              </w:rPr>
              <w:t>1,604,134</w:t>
            </w:r>
          </w:p>
        </w:tc>
        <w:tc>
          <w:tcPr>
            <w:tcW w:w="1655" w:type="dxa"/>
            <w:vAlign w:val="center"/>
          </w:tcPr>
          <w:p w:rsidR="007859C8" w:rsidRPr="000259AD" w:rsidRDefault="00AE35AE" w:rsidP="00CF5992">
            <w:pPr>
              <w:pStyle w:val="NoSpacing"/>
              <w:spacing w:after="0"/>
              <w:jc w:val="center"/>
              <w:rPr>
                <w:sz w:val="24"/>
                <w:szCs w:val="24"/>
              </w:rPr>
            </w:pPr>
            <w:r>
              <w:rPr>
                <w:sz w:val="24"/>
                <w:szCs w:val="24"/>
              </w:rPr>
              <w:t>7,236</w:t>
            </w:r>
          </w:p>
        </w:tc>
        <w:tc>
          <w:tcPr>
            <w:tcW w:w="1530" w:type="dxa"/>
            <w:vAlign w:val="center"/>
          </w:tcPr>
          <w:p w:rsidR="007859C8" w:rsidRPr="000259AD" w:rsidRDefault="00AE35AE" w:rsidP="00CF5992">
            <w:pPr>
              <w:pStyle w:val="NoSpacing"/>
              <w:spacing w:after="0"/>
              <w:jc w:val="center"/>
              <w:rPr>
                <w:sz w:val="24"/>
                <w:szCs w:val="24"/>
              </w:rPr>
            </w:pPr>
            <w:r>
              <w:rPr>
                <w:sz w:val="24"/>
                <w:szCs w:val="24"/>
              </w:rPr>
              <w:t>275</w:t>
            </w:r>
          </w:p>
        </w:tc>
        <w:tc>
          <w:tcPr>
            <w:tcW w:w="1530" w:type="dxa"/>
            <w:vAlign w:val="center"/>
          </w:tcPr>
          <w:p w:rsidR="007859C8" w:rsidRPr="000259AD" w:rsidRDefault="00AE35AE" w:rsidP="00CF5992">
            <w:pPr>
              <w:pStyle w:val="NoSpacing"/>
              <w:spacing w:after="0"/>
              <w:jc w:val="center"/>
              <w:rPr>
                <w:sz w:val="24"/>
                <w:szCs w:val="24"/>
              </w:rPr>
            </w:pPr>
            <w:r>
              <w:rPr>
                <w:sz w:val="24"/>
                <w:szCs w:val="24"/>
              </w:rPr>
              <w:t>7,511</w:t>
            </w:r>
          </w:p>
        </w:tc>
        <w:tc>
          <w:tcPr>
            <w:tcW w:w="1430" w:type="dxa"/>
            <w:vAlign w:val="center"/>
          </w:tcPr>
          <w:p w:rsidR="007859C8" w:rsidRPr="000259AD" w:rsidRDefault="00AE35AE" w:rsidP="00CF5992">
            <w:pPr>
              <w:pStyle w:val="NoSpacing"/>
              <w:spacing w:after="0"/>
              <w:jc w:val="center"/>
              <w:rPr>
                <w:sz w:val="24"/>
                <w:szCs w:val="24"/>
              </w:rPr>
            </w:pPr>
            <w:r>
              <w:rPr>
                <w:sz w:val="24"/>
                <w:szCs w:val="24"/>
              </w:rPr>
              <w:t>1,611,645</w:t>
            </w:r>
          </w:p>
        </w:tc>
      </w:tr>
      <w:tr w:rsidR="007859C8" w:rsidRPr="0038283C" w:rsidTr="00FF439F">
        <w:trPr>
          <w:cantSplit/>
          <w:jc w:val="center"/>
        </w:trPr>
        <w:tc>
          <w:tcPr>
            <w:tcW w:w="2905" w:type="dxa"/>
            <w:vAlign w:val="center"/>
          </w:tcPr>
          <w:p w:rsidR="007859C8" w:rsidRPr="000259AD" w:rsidRDefault="007859C8" w:rsidP="00CF5992">
            <w:pPr>
              <w:pStyle w:val="NoSpacing"/>
              <w:spacing w:after="0"/>
              <w:rPr>
                <w:sz w:val="24"/>
                <w:szCs w:val="24"/>
              </w:rPr>
            </w:pPr>
            <w:r w:rsidRPr="000259AD">
              <w:rPr>
                <w:sz w:val="24"/>
                <w:szCs w:val="24"/>
              </w:rPr>
              <w:t xml:space="preserve">Equipment rental, maintenance and </w:t>
            </w:r>
          </w:p>
          <w:p w:rsidR="007859C8" w:rsidRPr="000259AD" w:rsidRDefault="007859C8" w:rsidP="00CF5992">
            <w:pPr>
              <w:pStyle w:val="NoSpacing"/>
              <w:spacing w:after="0"/>
              <w:rPr>
                <w:sz w:val="24"/>
                <w:szCs w:val="24"/>
              </w:rPr>
            </w:pPr>
            <w:r w:rsidRPr="000259AD">
              <w:rPr>
                <w:sz w:val="24"/>
                <w:szCs w:val="24"/>
              </w:rPr>
              <w:t>repair</w:t>
            </w:r>
          </w:p>
        </w:tc>
        <w:tc>
          <w:tcPr>
            <w:tcW w:w="1440" w:type="dxa"/>
            <w:vAlign w:val="center"/>
          </w:tcPr>
          <w:p w:rsidR="007859C8" w:rsidRPr="000259AD" w:rsidRDefault="00D51AB6" w:rsidP="00CF5992">
            <w:pPr>
              <w:pStyle w:val="NoSpacing"/>
              <w:spacing w:after="0"/>
              <w:jc w:val="center"/>
              <w:rPr>
                <w:sz w:val="24"/>
                <w:szCs w:val="24"/>
              </w:rPr>
            </w:pPr>
            <w:r>
              <w:rPr>
                <w:sz w:val="24"/>
                <w:szCs w:val="24"/>
              </w:rPr>
              <w:t>9,765</w:t>
            </w:r>
          </w:p>
        </w:tc>
        <w:tc>
          <w:tcPr>
            <w:tcW w:w="1800" w:type="dxa"/>
            <w:vAlign w:val="center"/>
          </w:tcPr>
          <w:p w:rsidR="007859C8" w:rsidRPr="000259AD" w:rsidRDefault="00D51AB6" w:rsidP="00CF5992">
            <w:pPr>
              <w:pStyle w:val="NoSpacing"/>
              <w:spacing w:after="0"/>
              <w:jc w:val="center"/>
              <w:rPr>
                <w:sz w:val="24"/>
                <w:szCs w:val="24"/>
              </w:rPr>
            </w:pPr>
            <w:r>
              <w:rPr>
                <w:sz w:val="24"/>
                <w:szCs w:val="24"/>
              </w:rPr>
              <w:t>8,145</w:t>
            </w:r>
          </w:p>
        </w:tc>
        <w:tc>
          <w:tcPr>
            <w:tcW w:w="1440" w:type="dxa"/>
            <w:vAlign w:val="center"/>
          </w:tcPr>
          <w:p w:rsidR="007859C8" w:rsidRPr="000259AD" w:rsidRDefault="00D51AB6" w:rsidP="00CF5992">
            <w:pPr>
              <w:pStyle w:val="NoSpacing"/>
              <w:spacing w:after="0"/>
              <w:jc w:val="center"/>
              <w:rPr>
                <w:sz w:val="24"/>
                <w:szCs w:val="24"/>
              </w:rPr>
            </w:pPr>
            <w:r>
              <w:rPr>
                <w:sz w:val="24"/>
                <w:szCs w:val="24"/>
              </w:rPr>
              <w:t>9,220</w:t>
            </w:r>
          </w:p>
        </w:tc>
        <w:tc>
          <w:tcPr>
            <w:tcW w:w="1440" w:type="dxa"/>
            <w:vAlign w:val="center"/>
          </w:tcPr>
          <w:p w:rsidR="007859C8" w:rsidRPr="000259AD" w:rsidRDefault="00D51AB6" w:rsidP="00CF5992">
            <w:pPr>
              <w:pStyle w:val="NoSpacing"/>
              <w:spacing w:after="0"/>
              <w:jc w:val="center"/>
              <w:rPr>
                <w:sz w:val="24"/>
                <w:szCs w:val="24"/>
              </w:rPr>
            </w:pPr>
            <w:r>
              <w:rPr>
                <w:sz w:val="24"/>
                <w:szCs w:val="24"/>
              </w:rPr>
              <w:t>27,130</w:t>
            </w:r>
          </w:p>
        </w:tc>
        <w:tc>
          <w:tcPr>
            <w:tcW w:w="1655" w:type="dxa"/>
            <w:vAlign w:val="center"/>
          </w:tcPr>
          <w:p w:rsidR="007859C8" w:rsidRPr="000259AD" w:rsidRDefault="00E5269B" w:rsidP="00CF5992">
            <w:pPr>
              <w:pStyle w:val="NoSpacing"/>
              <w:spacing w:after="0"/>
              <w:jc w:val="center"/>
              <w:rPr>
                <w:sz w:val="24"/>
                <w:szCs w:val="24"/>
              </w:rPr>
            </w:pPr>
            <w:r>
              <w:rPr>
                <w:sz w:val="24"/>
                <w:szCs w:val="24"/>
              </w:rPr>
              <w:t>514</w:t>
            </w:r>
          </w:p>
        </w:tc>
        <w:tc>
          <w:tcPr>
            <w:tcW w:w="1530" w:type="dxa"/>
            <w:vAlign w:val="center"/>
          </w:tcPr>
          <w:p w:rsidR="007859C8" w:rsidRPr="000259AD" w:rsidRDefault="00E5269B" w:rsidP="00CF5992">
            <w:pPr>
              <w:pStyle w:val="NoSpacing"/>
              <w:spacing w:after="0"/>
              <w:jc w:val="center"/>
              <w:rPr>
                <w:sz w:val="24"/>
                <w:szCs w:val="24"/>
              </w:rPr>
            </w:pPr>
            <w:r>
              <w:rPr>
                <w:sz w:val="24"/>
                <w:szCs w:val="24"/>
              </w:rPr>
              <w:t>160</w:t>
            </w:r>
          </w:p>
        </w:tc>
        <w:tc>
          <w:tcPr>
            <w:tcW w:w="1530" w:type="dxa"/>
            <w:vAlign w:val="center"/>
          </w:tcPr>
          <w:p w:rsidR="007859C8" w:rsidRPr="000259AD" w:rsidRDefault="00E5269B" w:rsidP="00CF5992">
            <w:pPr>
              <w:pStyle w:val="NoSpacing"/>
              <w:spacing w:after="0"/>
              <w:jc w:val="center"/>
              <w:rPr>
                <w:sz w:val="24"/>
                <w:szCs w:val="24"/>
              </w:rPr>
            </w:pPr>
            <w:r>
              <w:rPr>
                <w:sz w:val="24"/>
                <w:szCs w:val="24"/>
              </w:rPr>
              <w:t>674</w:t>
            </w:r>
          </w:p>
        </w:tc>
        <w:tc>
          <w:tcPr>
            <w:tcW w:w="1430" w:type="dxa"/>
            <w:vAlign w:val="center"/>
          </w:tcPr>
          <w:p w:rsidR="007859C8" w:rsidRPr="000259AD" w:rsidRDefault="00E5269B" w:rsidP="00CF5992">
            <w:pPr>
              <w:pStyle w:val="NoSpacing"/>
              <w:spacing w:after="0"/>
              <w:jc w:val="center"/>
              <w:rPr>
                <w:sz w:val="24"/>
                <w:szCs w:val="24"/>
              </w:rPr>
            </w:pPr>
            <w:r>
              <w:rPr>
                <w:sz w:val="24"/>
                <w:szCs w:val="24"/>
              </w:rPr>
              <w:t>27,804</w:t>
            </w:r>
          </w:p>
        </w:tc>
      </w:tr>
      <w:tr w:rsidR="007859C8" w:rsidRPr="0038283C" w:rsidTr="00FF439F">
        <w:trPr>
          <w:cantSplit/>
          <w:jc w:val="center"/>
        </w:trPr>
        <w:tc>
          <w:tcPr>
            <w:tcW w:w="2905" w:type="dxa"/>
            <w:vAlign w:val="center"/>
          </w:tcPr>
          <w:p w:rsidR="007859C8" w:rsidRPr="000259AD" w:rsidRDefault="007859C8" w:rsidP="00CF5992">
            <w:pPr>
              <w:pStyle w:val="NoSpacing"/>
              <w:spacing w:after="0"/>
              <w:rPr>
                <w:sz w:val="24"/>
                <w:szCs w:val="24"/>
              </w:rPr>
            </w:pPr>
            <w:r w:rsidRPr="000259AD">
              <w:rPr>
                <w:sz w:val="24"/>
                <w:szCs w:val="24"/>
              </w:rPr>
              <w:t>Equipment, Braill</w:t>
            </w:r>
            <w:r w:rsidR="00284AE3" w:rsidRPr="000259AD">
              <w:rPr>
                <w:sz w:val="24"/>
                <w:szCs w:val="24"/>
              </w:rPr>
              <w:t>e and Technology Center</w:t>
            </w:r>
          </w:p>
        </w:tc>
        <w:tc>
          <w:tcPr>
            <w:tcW w:w="1440" w:type="dxa"/>
            <w:vAlign w:val="center"/>
          </w:tcPr>
          <w:p w:rsidR="007859C8" w:rsidRPr="000259AD" w:rsidRDefault="00284AE3" w:rsidP="00CF5992">
            <w:pPr>
              <w:pStyle w:val="NoSpacing"/>
              <w:spacing w:after="0"/>
              <w:jc w:val="center"/>
              <w:rPr>
                <w:sz w:val="24"/>
                <w:szCs w:val="24"/>
              </w:rPr>
            </w:pPr>
            <w:r w:rsidRPr="000259AD">
              <w:rPr>
                <w:sz w:val="24"/>
                <w:szCs w:val="24"/>
              </w:rPr>
              <w:t>--</w:t>
            </w:r>
          </w:p>
        </w:tc>
        <w:tc>
          <w:tcPr>
            <w:tcW w:w="1800" w:type="dxa"/>
            <w:vAlign w:val="center"/>
          </w:tcPr>
          <w:p w:rsidR="007859C8" w:rsidRPr="000259AD" w:rsidRDefault="00D51AB6" w:rsidP="00CF5992">
            <w:pPr>
              <w:pStyle w:val="NoSpacing"/>
              <w:spacing w:after="0"/>
              <w:jc w:val="center"/>
              <w:rPr>
                <w:sz w:val="24"/>
                <w:szCs w:val="24"/>
              </w:rPr>
            </w:pPr>
            <w:r>
              <w:rPr>
                <w:sz w:val="24"/>
                <w:szCs w:val="24"/>
              </w:rPr>
              <w:t>--</w:t>
            </w:r>
          </w:p>
        </w:tc>
        <w:tc>
          <w:tcPr>
            <w:tcW w:w="1440" w:type="dxa"/>
            <w:vAlign w:val="center"/>
          </w:tcPr>
          <w:p w:rsidR="007859C8" w:rsidRPr="000259AD" w:rsidRDefault="00D51AB6" w:rsidP="00CF5992">
            <w:pPr>
              <w:pStyle w:val="NoSpacing"/>
              <w:spacing w:after="0"/>
              <w:jc w:val="center"/>
              <w:rPr>
                <w:sz w:val="24"/>
                <w:szCs w:val="24"/>
              </w:rPr>
            </w:pPr>
            <w:r>
              <w:rPr>
                <w:sz w:val="24"/>
                <w:szCs w:val="24"/>
              </w:rPr>
              <w:t>69,527</w:t>
            </w:r>
          </w:p>
        </w:tc>
        <w:tc>
          <w:tcPr>
            <w:tcW w:w="1440" w:type="dxa"/>
            <w:vAlign w:val="center"/>
          </w:tcPr>
          <w:p w:rsidR="007859C8" w:rsidRPr="000259AD" w:rsidRDefault="00D51AB6" w:rsidP="00CF5992">
            <w:pPr>
              <w:pStyle w:val="NoSpacing"/>
              <w:spacing w:after="0"/>
              <w:jc w:val="center"/>
              <w:rPr>
                <w:sz w:val="24"/>
                <w:szCs w:val="24"/>
              </w:rPr>
            </w:pPr>
            <w:r>
              <w:rPr>
                <w:sz w:val="24"/>
                <w:szCs w:val="24"/>
              </w:rPr>
              <w:t>69,527</w:t>
            </w:r>
          </w:p>
        </w:tc>
        <w:tc>
          <w:tcPr>
            <w:tcW w:w="1655" w:type="dxa"/>
            <w:vAlign w:val="center"/>
          </w:tcPr>
          <w:p w:rsidR="007859C8" w:rsidRPr="000259AD" w:rsidRDefault="00DF4846" w:rsidP="00CF5992">
            <w:pPr>
              <w:pStyle w:val="NoSpacing"/>
              <w:spacing w:after="0"/>
              <w:jc w:val="center"/>
              <w:rPr>
                <w:sz w:val="24"/>
                <w:szCs w:val="24"/>
              </w:rPr>
            </w:pPr>
            <w:r w:rsidRPr="000259AD">
              <w:rPr>
                <w:sz w:val="24"/>
                <w:szCs w:val="24"/>
              </w:rPr>
              <w:t>--</w:t>
            </w:r>
          </w:p>
        </w:tc>
        <w:tc>
          <w:tcPr>
            <w:tcW w:w="1530" w:type="dxa"/>
            <w:vAlign w:val="center"/>
          </w:tcPr>
          <w:p w:rsidR="007859C8" w:rsidRPr="000259AD" w:rsidRDefault="00DF4846" w:rsidP="00CF5992">
            <w:pPr>
              <w:pStyle w:val="NoSpacing"/>
              <w:spacing w:after="0"/>
              <w:jc w:val="center"/>
              <w:rPr>
                <w:sz w:val="24"/>
                <w:szCs w:val="24"/>
              </w:rPr>
            </w:pPr>
            <w:r w:rsidRPr="000259AD">
              <w:rPr>
                <w:sz w:val="24"/>
                <w:szCs w:val="24"/>
              </w:rPr>
              <w:t>--</w:t>
            </w:r>
          </w:p>
        </w:tc>
        <w:tc>
          <w:tcPr>
            <w:tcW w:w="1530" w:type="dxa"/>
            <w:vAlign w:val="center"/>
          </w:tcPr>
          <w:p w:rsidR="007859C8" w:rsidRPr="000259AD" w:rsidRDefault="00DF4846" w:rsidP="00CF5992">
            <w:pPr>
              <w:pStyle w:val="NoSpacing"/>
              <w:spacing w:after="0"/>
              <w:jc w:val="center"/>
              <w:rPr>
                <w:sz w:val="24"/>
                <w:szCs w:val="24"/>
              </w:rPr>
            </w:pPr>
            <w:r w:rsidRPr="000259AD">
              <w:rPr>
                <w:sz w:val="24"/>
                <w:szCs w:val="24"/>
              </w:rPr>
              <w:t>--</w:t>
            </w:r>
          </w:p>
        </w:tc>
        <w:tc>
          <w:tcPr>
            <w:tcW w:w="1430" w:type="dxa"/>
            <w:vAlign w:val="center"/>
          </w:tcPr>
          <w:p w:rsidR="007859C8" w:rsidRPr="000259AD" w:rsidRDefault="00E5269B" w:rsidP="00CF5992">
            <w:pPr>
              <w:pStyle w:val="NoSpacing"/>
              <w:spacing w:after="0"/>
              <w:jc w:val="center"/>
              <w:rPr>
                <w:sz w:val="24"/>
                <w:szCs w:val="24"/>
              </w:rPr>
            </w:pPr>
            <w:r>
              <w:rPr>
                <w:sz w:val="24"/>
                <w:szCs w:val="24"/>
              </w:rPr>
              <w:t>69,527</w:t>
            </w:r>
          </w:p>
        </w:tc>
      </w:tr>
      <w:tr w:rsidR="00D51AB6" w:rsidRPr="0038283C" w:rsidTr="00FF439F">
        <w:trPr>
          <w:cantSplit/>
          <w:jc w:val="center"/>
        </w:trPr>
        <w:tc>
          <w:tcPr>
            <w:tcW w:w="2905" w:type="dxa"/>
            <w:vAlign w:val="center"/>
          </w:tcPr>
          <w:p w:rsidR="00D51AB6" w:rsidRPr="000259AD" w:rsidRDefault="00D51AB6" w:rsidP="00CF5992">
            <w:pPr>
              <w:pStyle w:val="NoSpacing"/>
              <w:spacing w:after="0"/>
              <w:rPr>
                <w:sz w:val="24"/>
                <w:szCs w:val="24"/>
              </w:rPr>
            </w:pPr>
            <w:r>
              <w:rPr>
                <w:sz w:val="24"/>
                <w:szCs w:val="24"/>
              </w:rPr>
              <w:t>Royalty fees</w:t>
            </w:r>
          </w:p>
        </w:tc>
        <w:tc>
          <w:tcPr>
            <w:tcW w:w="1440" w:type="dxa"/>
            <w:vAlign w:val="center"/>
          </w:tcPr>
          <w:p w:rsidR="00D51AB6" w:rsidRPr="000259AD" w:rsidRDefault="00D51AB6" w:rsidP="00CF5992">
            <w:pPr>
              <w:pStyle w:val="NoSpacing"/>
              <w:spacing w:after="0"/>
              <w:jc w:val="center"/>
              <w:rPr>
                <w:sz w:val="24"/>
                <w:szCs w:val="24"/>
              </w:rPr>
            </w:pPr>
            <w:r>
              <w:rPr>
                <w:sz w:val="24"/>
                <w:szCs w:val="24"/>
              </w:rPr>
              <w:t>--</w:t>
            </w:r>
          </w:p>
        </w:tc>
        <w:tc>
          <w:tcPr>
            <w:tcW w:w="1800" w:type="dxa"/>
            <w:vAlign w:val="center"/>
          </w:tcPr>
          <w:p w:rsidR="00D51AB6" w:rsidRDefault="00D51AB6" w:rsidP="00CF5992">
            <w:pPr>
              <w:pStyle w:val="NoSpacing"/>
              <w:spacing w:after="0"/>
              <w:jc w:val="center"/>
              <w:rPr>
                <w:sz w:val="24"/>
                <w:szCs w:val="24"/>
              </w:rPr>
            </w:pPr>
            <w:r>
              <w:rPr>
                <w:sz w:val="24"/>
                <w:szCs w:val="24"/>
              </w:rPr>
              <w:t>--</w:t>
            </w:r>
          </w:p>
        </w:tc>
        <w:tc>
          <w:tcPr>
            <w:tcW w:w="1440" w:type="dxa"/>
            <w:vAlign w:val="center"/>
          </w:tcPr>
          <w:p w:rsidR="00D51AB6" w:rsidRDefault="00D51AB6" w:rsidP="00CF5992">
            <w:pPr>
              <w:pStyle w:val="NoSpacing"/>
              <w:spacing w:after="0"/>
              <w:jc w:val="center"/>
              <w:rPr>
                <w:sz w:val="24"/>
                <w:szCs w:val="24"/>
              </w:rPr>
            </w:pPr>
            <w:r>
              <w:rPr>
                <w:sz w:val="24"/>
                <w:szCs w:val="24"/>
              </w:rPr>
              <w:t>33,707</w:t>
            </w:r>
          </w:p>
        </w:tc>
        <w:tc>
          <w:tcPr>
            <w:tcW w:w="1440" w:type="dxa"/>
            <w:vAlign w:val="center"/>
          </w:tcPr>
          <w:p w:rsidR="00D51AB6" w:rsidRDefault="00D51AB6" w:rsidP="00CF5992">
            <w:pPr>
              <w:pStyle w:val="NoSpacing"/>
              <w:spacing w:after="0"/>
              <w:jc w:val="center"/>
              <w:rPr>
                <w:sz w:val="24"/>
                <w:szCs w:val="24"/>
              </w:rPr>
            </w:pPr>
            <w:r>
              <w:rPr>
                <w:sz w:val="24"/>
                <w:szCs w:val="24"/>
              </w:rPr>
              <w:t>33,707</w:t>
            </w:r>
          </w:p>
        </w:tc>
        <w:tc>
          <w:tcPr>
            <w:tcW w:w="1655" w:type="dxa"/>
            <w:vAlign w:val="center"/>
          </w:tcPr>
          <w:p w:rsidR="00D51AB6" w:rsidRPr="000259AD" w:rsidRDefault="00E5269B" w:rsidP="00CF5992">
            <w:pPr>
              <w:pStyle w:val="NoSpacing"/>
              <w:spacing w:after="0"/>
              <w:jc w:val="center"/>
              <w:rPr>
                <w:sz w:val="24"/>
                <w:szCs w:val="24"/>
              </w:rPr>
            </w:pPr>
            <w:r>
              <w:rPr>
                <w:sz w:val="24"/>
                <w:szCs w:val="24"/>
              </w:rPr>
              <w:t>1,043</w:t>
            </w:r>
          </w:p>
        </w:tc>
        <w:tc>
          <w:tcPr>
            <w:tcW w:w="1530" w:type="dxa"/>
            <w:vAlign w:val="center"/>
          </w:tcPr>
          <w:p w:rsidR="00D51AB6" w:rsidRPr="000259AD" w:rsidRDefault="00E5269B" w:rsidP="00CF5992">
            <w:pPr>
              <w:pStyle w:val="NoSpacing"/>
              <w:spacing w:after="0"/>
              <w:jc w:val="center"/>
              <w:rPr>
                <w:sz w:val="24"/>
                <w:szCs w:val="24"/>
              </w:rPr>
            </w:pPr>
            <w:r>
              <w:rPr>
                <w:sz w:val="24"/>
                <w:szCs w:val="24"/>
              </w:rPr>
              <w:t>--</w:t>
            </w:r>
          </w:p>
        </w:tc>
        <w:tc>
          <w:tcPr>
            <w:tcW w:w="1530" w:type="dxa"/>
            <w:vAlign w:val="center"/>
          </w:tcPr>
          <w:p w:rsidR="00D51AB6" w:rsidRPr="000259AD" w:rsidRDefault="00E5269B" w:rsidP="00CF5992">
            <w:pPr>
              <w:pStyle w:val="NoSpacing"/>
              <w:spacing w:after="0"/>
              <w:jc w:val="center"/>
              <w:rPr>
                <w:sz w:val="24"/>
                <w:szCs w:val="24"/>
              </w:rPr>
            </w:pPr>
            <w:r>
              <w:rPr>
                <w:sz w:val="24"/>
                <w:szCs w:val="24"/>
              </w:rPr>
              <w:t>1,043</w:t>
            </w:r>
          </w:p>
        </w:tc>
        <w:tc>
          <w:tcPr>
            <w:tcW w:w="1430" w:type="dxa"/>
            <w:vAlign w:val="center"/>
          </w:tcPr>
          <w:p w:rsidR="00D51AB6" w:rsidRPr="000259AD" w:rsidRDefault="00E5269B" w:rsidP="00CF5992">
            <w:pPr>
              <w:pStyle w:val="NoSpacing"/>
              <w:spacing w:after="0"/>
              <w:jc w:val="center"/>
              <w:rPr>
                <w:sz w:val="24"/>
                <w:szCs w:val="24"/>
              </w:rPr>
            </w:pPr>
            <w:r>
              <w:rPr>
                <w:sz w:val="24"/>
                <w:szCs w:val="24"/>
              </w:rPr>
              <w:t>34,750</w:t>
            </w:r>
          </w:p>
        </w:tc>
      </w:tr>
      <w:tr w:rsidR="007859C8" w:rsidRPr="0038283C" w:rsidTr="00FF439F">
        <w:trPr>
          <w:cantSplit/>
          <w:trHeight w:val="350"/>
          <w:jc w:val="center"/>
        </w:trPr>
        <w:tc>
          <w:tcPr>
            <w:tcW w:w="2905" w:type="dxa"/>
            <w:vAlign w:val="center"/>
          </w:tcPr>
          <w:p w:rsidR="007859C8" w:rsidRPr="000259AD" w:rsidRDefault="007859C8" w:rsidP="00CF5992">
            <w:pPr>
              <w:pStyle w:val="NoSpacing"/>
              <w:spacing w:after="0"/>
              <w:rPr>
                <w:sz w:val="24"/>
                <w:szCs w:val="24"/>
              </w:rPr>
            </w:pPr>
            <w:r w:rsidRPr="000259AD">
              <w:rPr>
                <w:sz w:val="24"/>
                <w:szCs w:val="24"/>
              </w:rPr>
              <w:t>Data processing</w:t>
            </w:r>
          </w:p>
        </w:tc>
        <w:tc>
          <w:tcPr>
            <w:tcW w:w="1440" w:type="dxa"/>
            <w:vAlign w:val="center"/>
          </w:tcPr>
          <w:p w:rsidR="007859C8" w:rsidRPr="000259AD" w:rsidRDefault="00D51AB6" w:rsidP="00CF5992">
            <w:pPr>
              <w:pStyle w:val="NoSpacing"/>
              <w:spacing w:after="0"/>
              <w:jc w:val="center"/>
              <w:rPr>
                <w:sz w:val="24"/>
                <w:szCs w:val="24"/>
              </w:rPr>
            </w:pPr>
            <w:r>
              <w:rPr>
                <w:sz w:val="24"/>
                <w:szCs w:val="24"/>
              </w:rPr>
              <w:t>29,474</w:t>
            </w:r>
          </w:p>
        </w:tc>
        <w:tc>
          <w:tcPr>
            <w:tcW w:w="1800" w:type="dxa"/>
            <w:vAlign w:val="center"/>
          </w:tcPr>
          <w:p w:rsidR="007859C8" w:rsidRPr="000259AD" w:rsidRDefault="00284AE3" w:rsidP="00CF5992">
            <w:pPr>
              <w:pStyle w:val="NoSpacing"/>
              <w:spacing w:after="0"/>
              <w:jc w:val="center"/>
              <w:rPr>
                <w:sz w:val="24"/>
                <w:szCs w:val="24"/>
              </w:rPr>
            </w:pPr>
            <w:r w:rsidRPr="000259AD">
              <w:rPr>
                <w:sz w:val="24"/>
                <w:szCs w:val="24"/>
              </w:rPr>
              <w:t>--</w:t>
            </w:r>
          </w:p>
        </w:tc>
        <w:tc>
          <w:tcPr>
            <w:tcW w:w="1440" w:type="dxa"/>
            <w:vAlign w:val="center"/>
          </w:tcPr>
          <w:p w:rsidR="007859C8" w:rsidRPr="000259AD" w:rsidRDefault="00DF4846" w:rsidP="00CF5992">
            <w:pPr>
              <w:pStyle w:val="NoSpacing"/>
              <w:spacing w:after="0"/>
              <w:jc w:val="center"/>
              <w:rPr>
                <w:sz w:val="24"/>
                <w:szCs w:val="24"/>
              </w:rPr>
            </w:pPr>
            <w:r w:rsidRPr="000259AD">
              <w:rPr>
                <w:sz w:val="24"/>
                <w:szCs w:val="24"/>
              </w:rPr>
              <w:t>--</w:t>
            </w:r>
          </w:p>
        </w:tc>
        <w:tc>
          <w:tcPr>
            <w:tcW w:w="1440" w:type="dxa"/>
            <w:vAlign w:val="center"/>
          </w:tcPr>
          <w:p w:rsidR="007859C8" w:rsidRPr="000259AD" w:rsidRDefault="00D51AB6" w:rsidP="00CF5992">
            <w:pPr>
              <w:pStyle w:val="NoSpacing"/>
              <w:spacing w:after="0"/>
              <w:jc w:val="center"/>
              <w:rPr>
                <w:sz w:val="24"/>
                <w:szCs w:val="24"/>
              </w:rPr>
            </w:pPr>
            <w:r>
              <w:rPr>
                <w:sz w:val="24"/>
                <w:szCs w:val="24"/>
              </w:rPr>
              <w:t>29,474</w:t>
            </w:r>
          </w:p>
        </w:tc>
        <w:tc>
          <w:tcPr>
            <w:tcW w:w="1655" w:type="dxa"/>
            <w:vAlign w:val="center"/>
          </w:tcPr>
          <w:p w:rsidR="007859C8" w:rsidRPr="000259AD" w:rsidRDefault="00E03F96" w:rsidP="00CF5992">
            <w:pPr>
              <w:pStyle w:val="NoSpacing"/>
              <w:spacing w:after="0"/>
              <w:jc w:val="center"/>
              <w:rPr>
                <w:sz w:val="24"/>
                <w:szCs w:val="24"/>
              </w:rPr>
            </w:pPr>
            <w:r>
              <w:rPr>
                <w:sz w:val="24"/>
                <w:szCs w:val="24"/>
              </w:rPr>
              <w:t>29,474</w:t>
            </w:r>
          </w:p>
        </w:tc>
        <w:tc>
          <w:tcPr>
            <w:tcW w:w="1530" w:type="dxa"/>
            <w:vAlign w:val="center"/>
          </w:tcPr>
          <w:p w:rsidR="007859C8" w:rsidRPr="000259AD" w:rsidRDefault="00DF4846" w:rsidP="00CF5992">
            <w:pPr>
              <w:pStyle w:val="NoSpacing"/>
              <w:spacing w:after="0"/>
              <w:jc w:val="center"/>
              <w:rPr>
                <w:sz w:val="24"/>
                <w:szCs w:val="24"/>
              </w:rPr>
            </w:pPr>
            <w:r w:rsidRPr="000259AD">
              <w:rPr>
                <w:sz w:val="24"/>
                <w:szCs w:val="24"/>
              </w:rPr>
              <w:t>--</w:t>
            </w:r>
          </w:p>
        </w:tc>
        <w:tc>
          <w:tcPr>
            <w:tcW w:w="1530" w:type="dxa"/>
            <w:vAlign w:val="center"/>
          </w:tcPr>
          <w:p w:rsidR="007859C8" w:rsidRPr="000259AD" w:rsidRDefault="00E03F96" w:rsidP="00CF5992">
            <w:pPr>
              <w:pStyle w:val="NoSpacing"/>
              <w:spacing w:after="0"/>
              <w:jc w:val="center"/>
              <w:rPr>
                <w:sz w:val="24"/>
                <w:szCs w:val="24"/>
              </w:rPr>
            </w:pPr>
            <w:r>
              <w:rPr>
                <w:sz w:val="24"/>
                <w:szCs w:val="24"/>
              </w:rPr>
              <w:t>29,474</w:t>
            </w:r>
          </w:p>
        </w:tc>
        <w:tc>
          <w:tcPr>
            <w:tcW w:w="1430" w:type="dxa"/>
            <w:vAlign w:val="center"/>
          </w:tcPr>
          <w:p w:rsidR="007859C8" w:rsidRPr="000259AD" w:rsidRDefault="00E03F96" w:rsidP="00CF5992">
            <w:pPr>
              <w:pStyle w:val="NoSpacing"/>
              <w:spacing w:after="0"/>
              <w:jc w:val="center"/>
              <w:rPr>
                <w:sz w:val="24"/>
                <w:szCs w:val="24"/>
              </w:rPr>
            </w:pPr>
            <w:r>
              <w:rPr>
                <w:sz w:val="24"/>
                <w:szCs w:val="24"/>
              </w:rPr>
              <w:t>58,948</w:t>
            </w:r>
          </w:p>
        </w:tc>
      </w:tr>
      <w:tr w:rsidR="007859C8" w:rsidRPr="0038283C" w:rsidTr="00FF439F">
        <w:trPr>
          <w:cantSplit/>
          <w:trHeight w:val="422"/>
          <w:jc w:val="center"/>
        </w:trPr>
        <w:tc>
          <w:tcPr>
            <w:tcW w:w="2905" w:type="dxa"/>
            <w:vAlign w:val="center"/>
          </w:tcPr>
          <w:p w:rsidR="007859C8" w:rsidRPr="000259AD" w:rsidRDefault="007859C8" w:rsidP="00CF5992">
            <w:pPr>
              <w:pStyle w:val="NoSpacing"/>
              <w:spacing w:after="0"/>
              <w:rPr>
                <w:sz w:val="24"/>
                <w:szCs w:val="24"/>
              </w:rPr>
            </w:pPr>
            <w:r w:rsidRPr="000259AD">
              <w:rPr>
                <w:sz w:val="24"/>
                <w:szCs w:val="24"/>
              </w:rPr>
              <w:t>Other</w:t>
            </w:r>
          </w:p>
        </w:tc>
        <w:tc>
          <w:tcPr>
            <w:tcW w:w="1440" w:type="dxa"/>
            <w:vAlign w:val="center"/>
          </w:tcPr>
          <w:p w:rsidR="007859C8" w:rsidRPr="00FF439F" w:rsidRDefault="007A78FC" w:rsidP="00CF5992">
            <w:pPr>
              <w:pStyle w:val="NoSpacing"/>
              <w:spacing w:after="0"/>
              <w:jc w:val="center"/>
              <w:rPr>
                <w:sz w:val="24"/>
                <w:szCs w:val="24"/>
                <w:u w:val="single"/>
              </w:rPr>
            </w:pPr>
            <w:r>
              <w:rPr>
                <w:sz w:val="24"/>
                <w:szCs w:val="24"/>
                <w:u w:val="single"/>
              </w:rPr>
              <w:t>2,409</w:t>
            </w:r>
          </w:p>
        </w:tc>
        <w:tc>
          <w:tcPr>
            <w:tcW w:w="1800" w:type="dxa"/>
            <w:vAlign w:val="center"/>
          </w:tcPr>
          <w:p w:rsidR="007859C8" w:rsidRPr="00FF439F" w:rsidRDefault="007A78FC" w:rsidP="00CF5992">
            <w:pPr>
              <w:pStyle w:val="NoSpacing"/>
              <w:spacing w:after="0"/>
              <w:jc w:val="center"/>
              <w:rPr>
                <w:sz w:val="24"/>
                <w:szCs w:val="24"/>
                <w:u w:val="single"/>
              </w:rPr>
            </w:pPr>
            <w:r>
              <w:rPr>
                <w:sz w:val="24"/>
                <w:szCs w:val="24"/>
                <w:u w:val="single"/>
              </w:rPr>
              <w:t>1,648</w:t>
            </w:r>
          </w:p>
        </w:tc>
        <w:tc>
          <w:tcPr>
            <w:tcW w:w="1440" w:type="dxa"/>
            <w:vAlign w:val="center"/>
          </w:tcPr>
          <w:p w:rsidR="007859C8" w:rsidRPr="00FF439F" w:rsidRDefault="007A78FC" w:rsidP="00CF5992">
            <w:pPr>
              <w:pStyle w:val="NoSpacing"/>
              <w:spacing w:after="0"/>
              <w:jc w:val="center"/>
              <w:rPr>
                <w:sz w:val="24"/>
                <w:szCs w:val="24"/>
                <w:u w:val="single"/>
              </w:rPr>
            </w:pPr>
            <w:r>
              <w:rPr>
                <w:sz w:val="24"/>
                <w:szCs w:val="24"/>
                <w:u w:val="single"/>
              </w:rPr>
              <w:t>2,447</w:t>
            </w:r>
          </w:p>
        </w:tc>
        <w:tc>
          <w:tcPr>
            <w:tcW w:w="1440" w:type="dxa"/>
            <w:vAlign w:val="center"/>
          </w:tcPr>
          <w:p w:rsidR="007859C8" w:rsidRPr="00FF439F" w:rsidRDefault="007A78FC" w:rsidP="00CF5992">
            <w:pPr>
              <w:pStyle w:val="NoSpacing"/>
              <w:spacing w:after="0"/>
              <w:jc w:val="center"/>
              <w:rPr>
                <w:sz w:val="24"/>
                <w:szCs w:val="24"/>
                <w:u w:val="single"/>
              </w:rPr>
            </w:pPr>
            <w:r>
              <w:rPr>
                <w:sz w:val="24"/>
                <w:szCs w:val="24"/>
                <w:u w:val="single"/>
              </w:rPr>
              <w:t>6,504</w:t>
            </w:r>
          </w:p>
        </w:tc>
        <w:tc>
          <w:tcPr>
            <w:tcW w:w="1655" w:type="dxa"/>
            <w:vAlign w:val="center"/>
          </w:tcPr>
          <w:p w:rsidR="007859C8" w:rsidRPr="00FF439F" w:rsidRDefault="00E03F96" w:rsidP="00CF5992">
            <w:pPr>
              <w:pStyle w:val="NoSpacing"/>
              <w:spacing w:after="0"/>
              <w:jc w:val="center"/>
              <w:rPr>
                <w:sz w:val="24"/>
                <w:szCs w:val="24"/>
                <w:u w:val="single"/>
              </w:rPr>
            </w:pPr>
            <w:r>
              <w:rPr>
                <w:sz w:val="24"/>
                <w:szCs w:val="24"/>
                <w:u w:val="single"/>
              </w:rPr>
              <w:t>4,505</w:t>
            </w:r>
          </w:p>
        </w:tc>
        <w:tc>
          <w:tcPr>
            <w:tcW w:w="1530" w:type="dxa"/>
            <w:vAlign w:val="center"/>
          </w:tcPr>
          <w:p w:rsidR="007859C8" w:rsidRPr="00FF439F" w:rsidRDefault="00DF4846" w:rsidP="00CF5992">
            <w:pPr>
              <w:pStyle w:val="NoSpacing"/>
              <w:spacing w:after="0"/>
              <w:jc w:val="center"/>
              <w:rPr>
                <w:sz w:val="24"/>
                <w:szCs w:val="24"/>
                <w:u w:val="single"/>
              </w:rPr>
            </w:pPr>
            <w:r w:rsidRPr="00FF439F">
              <w:rPr>
                <w:sz w:val="24"/>
                <w:szCs w:val="24"/>
                <w:u w:val="single"/>
              </w:rPr>
              <w:t>--</w:t>
            </w:r>
          </w:p>
        </w:tc>
        <w:tc>
          <w:tcPr>
            <w:tcW w:w="1530" w:type="dxa"/>
            <w:vAlign w:val="center"/>
          </w:tcPr>
          <w:p w:rsidR="007859C8" w:rsidRPr="00FF439F" w:rsidRDefault="00E03F96" w:rsidP="00CF5992">
            <w:pPr>
              <w:pStyle w:val="NoSpacing"/>
              <w:spacing w:after="0"/>
              <w:jc w:val="center"/>
              <w:rPr>
                <w:sz w:val="24"/>
                <w:szCs w:val="24"/>
                <w:u w:val="single"/>
              </w:rPr>
            </w:pPr>
            <w:r>
              <w:rPr>
                <w:sz w:val="24"/>
                <w:szCs w:val="24"/>
                <w:u w:val="single"/>
              </w:rPr>
              <w:t>4,505</w:t>
            </w:r>
          </w:p>
        </w:tc>
        <w:tc>
          <w:tcPr>
            <w:tcW w:w="1430" w:type="dxa"/>
            <w:vAlign w:val="center"/>
          </w:tcPr>
          <w:p w:rsidR="007859C8" w:rsidRPr="00FF439F" w:rsidRDefault="00E03F96" w:rsidP="00CF5992">
            <w:pPr>
              <w:pStyle w:val="NoSpacing"/>
              <w:spacing w:after="0"/>
              <w:jc w:val="center"/>
              <w:rPr>
                <w:sz w:val="24"/>
                <w:szCs w:val="24"/>
                <w:u w:val="single"/>
              </w:rPr>
            </w:pPr>
            <w:r>
              <w:rPr>
                <w:sz w:val="24"/>
                <w:szCs w:val="24"/>
                <w:u w:val="single"/>
              </w:rPr>
              <w:t>11,009</w:t>
            </w:r>
          </w:p>
        </w:tc>
      </w:tr>
      <w:tr w:rsidR="007859C8" w:rsidRPr="0038283C" w:rsidTr="00FF439F">
        <w:trPr>
          <w:cantSplit/>
          <w:jc w:val="center"/>
        </w:trPr>
        <w:tc>
          <w:tcPr>
            <w:tcW w:w="2905" w:type="dxa"/>
            <w:vAlign w:val="center"/>
          </w:tcPr>
          <w:p w:rsidR="007859C8" w:rsidRPr="000259AD" w:rsidRDefault="007859C8" w:rsidP="00CF5992">
            <w:pPr>
              <w:pStyle w:val="NoSpacing"/>
              <w:spacing w:after="0"/>
              <w:rPr>
                <w:sz w:val="24"/>
                <w:szCs w:val="24"/>
              </w:rPr>
            </w:pPr>
            <w:r w:rsidRPr="000259AD">
              <w:rPr>
                <w:sz w:val="24"/>
                <w:szCs w:val="24"/>
              </w:rPr>
              <w:t>Total expenses before depreciation</w:t>
            </w:r>
            <w:r w:rsidR="009925B6">
              <w:rPr>
                <w:sz w:val="24"/>
                <w:szCs w:val="24"/>
              </w:rPr>
              <w:t xml:space="preserve"> and amortization</w:t>
            </w:r>
          </w:p>
        </w:tc>
        <w:tc>
          <w:tcPr>
            <w:tcW w:w="1440" w:type="dxa"/>
            <w:vAlign w:val="center"/>
          </w:tcPr>
          <w:p w:rsidR="007859C8" w:rsidRPr="000259AD" w:rsidRDefault="007A78FC" w:rsidP="00CF5992">
            <w:pPr>
              <w:pStyle w:val="NoSpacing"/>
              <w:spacing w:after="0"/>
              <w:jc w:val="center"/>
              <w:rPr>
                <w:sz w:val="24"/>
                <w:szCs w:val="24"/>
              </w:rPr>
            </w:pPr>
            <w:r>
              <w:rPr>
                <w:sz w:val="24"/>
                <w:szCs w:val="24"/>
              </w:rPr>
              <w:t>8,323,549</w:t>
            </w:r>
          </w:p>
        </w:tc>
        <w:tc>
          <w:tcPr>
            <w:tcW w:w="1800" w:type="dxa"/>
            <w:vAlign w:val="center"/>
          </w:tcPr>
          <w:p w:rsidR="007859C8" w:rsidRPr="000259AD" w:rsidRDefault="007A78FC" w:rsidP="00CF5992">
            <w:pPr>
              <w:pStyle w:val="NoSpacing"/>
              <w:spacing w:after="0"/>
              <w:jc w:val="center"/>
              <w:rPr>
                <w:sz w:val="24"/>
                <w:szCs w:val="24"/>
              </w:rPr>
            </w:pPr>
            <w:r>
              <w:rPr>
                <w:sz w:val="24"/>
                <w:szCs w:val="24"/>
              </w:rPr>
              <w:t>5,945,853</w:t>
            </w:r>
          </w:p>
        </w:tc>
        <w:tc>
          <w:tcPr>
            <w:tcW w:w="1440" w:type="dxa"/>
            <w:vAlign w:val="center"/>
          </w:tcPr>
          <w:p w:rsidR="007859C8" w:rsidRPr="000259AD" w:rsidRDefault="007A78FC" w:rsidP="00CF5992">
            <w:pPr>
              <w:pStyle w:val="NoSpacing"/>
              <w:spacing w:after="0"/>
              <w:jc w:val="center"/>
              <w:rPr>
                <w:sz w:val="24"/>
                <w:szCs w:val="24"/>
              </w:rPr>
            </w:pPr>
            <w:r>
              <w:rPr>
                <w:sz w:val="24"/>
                <w:szCs w:val="24"/>
              </w:rPr>
              <w:t>5,038,131</w:t>
            </w:r>
          </w:p>
        </w:tc>
        <w:tc>
          <w:tcPr>
            <w:tcW w:w="1440" w:type="dxa"/>
            <w:vAlign w:val="center"/>
          </w:tcPr>
          <w:p w:rsidR="007859C8" w:rsidRPr="000259AD" w:rsidRDefault="007A78FC" w:rsidP="00CF5992">
            <w:pPr>
              <w:pStyle w:val="NoSpacing"/>
              <w:spacing w:after="0"/>
              <w:jc w:val="center"/>
              <w:rPr>
                <w:sz w:val="24"/>
                <w:szCs w:val="24"/>
              </w:rPr>
            </w:pPr>
            <w:r>
              <w:rPr>
                <w:sz w:val="24"/>
                <w:szCs w:val="24"/>
              </w:rPr>
              <w:t>19,307,533</w:t>
            </w:r>
          </w:p>
        </w:tc>
        <w:tc>
          <w:tcPr>
            <w:tcW w:w="1655" w:type="dxa"/>
            <w:vAlign w:val="center"/>
          </w:tcPr>
          <w:p w:rsidR="007859C8" w:rsidRPr="000259AD" w:rsidRDefault="00E03F96" w:rsidP="00CF5992">
            <w:pPr>
              <w:pStyle w:val="NoSpacing"/>
              <w:spacing w:after="0"/>
              <w:jc w:val="center"/>
              <w:rPr>
                <w:sz w:val="24"/>
                <w:szCs w:val="24"/>
              </w:rPr>
            </w:pPr>
            <w:r>
              <w:rPr>
                <w:sz w:val="24"/>
                <w:szCs w:val="24"/>
              </w:rPr>
              <w:t>526,971</w:t>
            </w:r>
          </w:p>
        </w:tc>
        <w:tc>
          <w:tcPr>
            <w:tcW w:w="1530" w:type="dxa"/>
            <w:vAlign w:val="center"/>
          </w:tcPr>
          <w:p w:rsidR="007859C8" w:rsidRPr="000259AD" w:rsidRDefault="00E03F96" w:rsidP="00CF5992">
            <w:pPr>
              <w:pStyle w:val="NoSpacing"/>
              <w:spacing w:after="0"/>
              <w:jc w:val="center"/>
              <w:rPr>
                <w:sz w:val="24"/>
                <w:szCs w:val="24"/>
              </w:rPr>
            </w:pPr>
            <w:r>
              <w:rPr>
                <w:sz w:val="24"/>
                <w:szCs w:val="24"/>
              </w:rPr>
              <w:t>1,331,796</w:t>
            </w:r>
          </w:p>
        </w:tc>
        <w:tc>
          <w:tcPr>
            <w:tcW w:w="1530" w:type="dxa"/>
            <w:vAlign w:val="center"/>
          </w:tcPr>
          <w:p w:rsidR="007859C8" w:rsidRPr="000259AD" w:rsidRDefault="00E03F96" w:rsidP="00CF5992">
            <w:pPr>
              <w:pStyle w:val="NoSpacing"/>
              <w:spacing w:after="0"/>
              <w:jc w:val="center"/>
              <w:rPr>
                <w:sz w:val="24"/>
                <w:szCs w:val="24"/>
              </w:rPr>
            </w:pPr>
            <w:r>
              <w:rPr>
                <w:sz w:val="24"/>
                <w:szCs w:val="24"/>
              </w:rPr>
              <w:t>1,858,767</w:t>
            </w:r>
          </w:p>
        </w:tc>
        <w:tc>
          <w:tcPr>
            <w:tcW w:w="1430" w:type="dxa"/>
            <w:vAlign w:val="center"/>
          </w:tcPr>
          <w:p w:rsidR="007859C8" w:rsidRPr="000259AD" w:rsidRDefault="00E03F96" w:rsidP="00CF5992">
            <w:pPr>
              <w:pStyle w:val="NoSpacing"/>
              <w:spacing w:after="0"/>
              <w:jc w:val="center"/>
              <w:rPr>
                <w:sz w:val="24"/>
                <w:szCs w:val="24"/>
              </w:rPr>
            </w:pPr>
            <w:r>
              <w:rPr>
                <w:sz w:val="24"/>
                <w:szCs w:val="24"/>
              </w:rPr>
              <w:t>21,166,300</w:t>
            </w:r>
          </w:p>
        </w:tc>
      </w:tr>
      <w:tr w:rsidR="007859C8" w:rsidRPr="0038283C" w:rsidTr="00FF439F">
        <w:trPr>
          <w:cantSplit/>
          <w:trHeight w:val="377"/>
          <w:jc w:val="center"/>
        </w:trPr>
        <w:tc>
          <w:tcPr>
            <w:tcW w:w="2905" w:type="dxa"/>
            <w:vAlign w:val="center"/>
          </w:tcPr>
          <w:p w:rsidR="007859C8" w:rsidRPr="000259AD" w:rsidRDefault="007A78FC" w:rsidP="00CF5992">
            <w:pPr>
              <w:pStyle w:val="NoSpacing"/>
              <w:spacing w:after="0"/>
              <w:rPr>
                <w:sz w:val="24"/>
                <w:szCs w:val="24"/>
              </w:rPr>
            </w:pPr>
            <w:r>
              <w:rPr>
                <w:sz w:val="24"/>
                <w:szCs w:val="24"/>
              </w:rPr>
              <w:t>Depreciation</w:t>
            </w:r>
          </w:p>
        </w:tc>
        <w:tc>
          <w:tcPr>
            <w:tcW w:w="1440" w:type="dxa"/>
            <w:vAlign w:val="center"/>
          </w:tcPr>
          <w:p w:rsidR="007859C8" w:rsidRPr="007A78FC" w:rsidRDefault="007A78FC" w:rsidP="00CF5992">
            <w:pPr>
              <w:pStyle w:val="NoSpacing"/>
              <w:spacing w:after="0"/>
              <w:jc w:val="center"/>
              <w:rPr>
                <w:sz w:val="24"/>
                <w:szCs w:val="24"/>
              </w:rPr>
            </w:pPr>
            <w:r w:rsidRPr="007A78FC">
              <w:rPr>
                <w:sz w:val="24"/>
                <w:szCs w:val="24"/>
              </w:rPr>
              <w:t>24,262</w:t>
            </w:r>
          </w:p>
        </w:tc>
        <w:tc>
          <w:tcPr>
            <w:tcW w:w="1800" w:type="dxa"/>
            <w:vAlign w:val="center"/>
          </w:tcPr>
          <w:p w:rsidR="007859C8" w:rsidRPr="007A78FC" w:rsidRDefault="007A78FC" w:rsidP="00CF5992">
            <w:pPr>
              <w:pStyle w:val="NoSpacing"/>
              <w:spacing w:after="0"/>
              <w:jc w:val="center"/>
              <w:rPr>
                <w:sz w:val="24"/>
                <w:szCs w:val="24"/>
              </w:rPr>
            </w:pPr>
            <w:r w:rsidRPr="007A78FC">
              <w:rPr>
                <w:sz w:val="24"/>
                <w:szCs w:val="24"/>
              </w:rPr>
              <w:t>23,527</w:t>
            </w:r>
          </w:p>
        </w:tc>
        <w:tc>
          <w:tcPr>
            <w:tcW w:w="1440" w:type="dxa"/>
            <w:vAlign w:val="center"/>
          </w:tcPr>
          <w:p w:rsidR="007859C8" w:rsidRPr="007A78FC" w:rsidRDefault="007A78FC" w:rsidP="00CF5992">
            <w:pPr>
              <w:pStyle w:val="NoSpacing"/>
              <w:spacing w:after="0"/>
              <w:jc w:val="center"/>
              <w:rPr>
                <w:sz w:val="24"/>
                <w:szCs w:val="24"/>
              </w:rPr>
            </w:pPr>
            <w:r w:rsidRPr="007A78FC">
              <w:rPr>
                <w:sz w:val="24"/>
                <w:szCs w:val="24"/>
              </w:rPr>
              <w:t>24,262</w:t>
            </w:r>
          </w:p>
        </w:tc>
        <w:tc>
          <w:tcPr>
            <w:tcW w:w="1440" w:type="dxa"/>
            <w:vAlign w:val="center"/>
          </w:tcPr>
          <w:p w:rsidR="007859C8" w:rsidRPr="007A78FC" w:rsidRDefault="007A78FC" w:rsidP="00CF5992">
            <w:pPr>
              <w:pStyle w:val="NoSpacing"/>
              <w:spacing w:after="0"/>
              <w:jc w:val="center"/>
              <w:rPr>
                <w:sz w:val="24"/>
                <w:szCs w:val="24"/>
              </w:rPr>
            </w:pPr>
            <w:r w:rsidRPr="007A78FC">
              <w:rPr>
                <w:sz w:val="24"/>
                <w:szCs w:val="24"/>
              </w:rPr>
              <w:t>72,051</w:t>
            </w:r>
          </w:p>
        </w:tc>
        <w:tc>
          <w:tcPr>
            <w:tcW w:w="1655" w:type="dxa"/>
            <w:vAlign w:val="center"/>
          </w:tcPr>
          <w:p w:rsidR="007859C8" w:rsidRPr="007A78FC" w:rsidRDefault="00E03F96" w:rsidP="00CF5992">
            <w:pPr>
              <w:pStyle w:val="NoSpacing"/>
              <w:spacing w:after="0"/>
              <w:jc w:val="center"/>
              <w:rPr>
                <w:sz w:val="24"/>
                <w:szCs w:val="24"/>
              </w:rPr>
            </w:pPr>
            <w:r>
              <w:rPr>
                <w:sz w:val="24"/>
                <w:szCs w:val="24"/>
              </w:rPr>
              <w:t>735</w:t>
            </w:r>
          </w:p>
        </w:tc>
        <w:tc>
          <w:tcPr>
            <w:tcW w:w="1530" w:type="dxa"/>
            <w:vAlign w:val="center"/>
          </w:tcPr>
          <w:p w:rsidR="007859C8" w:rsidRPr="007A78FC" w:rsidRDefault="00E03F96" w:rsidP="00CF5992">
            <w:pPr>
              <w:pStyle w:val="NoSpacing"/>
              <w:spacing w:after="0"/>
              <w:jc w:val="center"/>
              <w:rPr>
                <w:sz w:val="24"/>
                <w:szCs w:val="24"/>
              </w:rPr>
            </w:pPr>
            <w:r>
              <w:rPr>
                <w:sz w:val="24"/>
                <w:szCs w:val="24"/>
              </w:rPr>
              <w:t>735</w:t>
            </w:r>
          </w:p>
        </w:tc>
        <w:tc>
          <w:tcPr>
            <w:tcW w:w="1530" w:type="dxa"/>
            <w:vAlign w:val="center"/>
          </w:tcPr>
          <w:p w:rsidR="007859C8" w:rsidRPr="007A78FC" w:rsidRDefault="00E03F96" w:rsidP="00CF5992">
            <w:pPr>
              <w:pStyle w:val="NoSpacing"/>
              <w:spacing w:after="0"/>
              <w:jc w:val="center"/>
              <w:rPr>
                <w:sz w:val="24"/>
                <w:szCs w:val="24"/>
              </w:rPr>
            </w:pPr>
            <w:r>
              <w:rPr>
                <w:sz w:val="24"/>
                <w:szCs w:val="24"/>
              </w:rPr>
              <w:t>1,470</w:t>
            </w:r>
          </w:p>
        </w:tc>
        <w:tc>
          <w:tcPr>
            <w:tcW w:w="1430" w:type="dxa"/>
            <w:vAlign w:val="center"/>
          </w:tcPr>
          <w:p w:rsidR="007859C8" w:rsidRPr="007A78FC" w:rsidRDefault="00E03F96" w:rsidP="00CF5992">
            <w:pPr>
              <w:pStyle w:val="NoSpacing"/>
              <w:spacing w:after="0"/>
              <w:jc w:val="center"/>
              <w:rPr>
                <w:sz w:val="24"/>
                <w:szCs w:val="24"/>
              </w:rPr>
            </w:pPr>
            <w:r>
              <w:rPr>
                <w:sz w:val="24"/>
                <w:szCs w:val="24"/>
              </w:rPr>
              <w:t>73,521</w:t>
            </w:r>
          </w:p>
        </w:tc>
      </w:tr>
      <w:tr w:rsidR="007A78FC" w:rsidRPr="0038283C" w:rsidTr="00FF439F">
        <w:trPr>
          <w:cantSplit/>
          <w:trHeight w:val="377"/>
          <w:jc w:val="center"/>
        </w:trPr>
        <w:tc>
          <w:tcPr>
            <w:tcW w:w="2905" w:type="dxa"/>
            <w:vAlign w:val="center"/>
          </w:tcPr>
          <w:p w:rsidR="007A78FC" w:rsidRDefault="007A78FC" w:rsidP="00CF5992">
            <w:pPr>
              <w:pStyle w:val="NoSpacing"/>
              <w:spacing w:after="0"/>
              <w:rPr>
                <w:sz w:val="24"/>
                <w:szCs w:val="24"/>
              </w:rPr>
            </w:pPr>
            <w:r>
              <w:rPr>
                <w:sz w:val="24"/>
                <w:szCs w:val="24"/>
              </w:rPr>
              <w:t>Amortization</w:t>
            </w:r>
          </w:p>
        </w:tc>
        <w:tc>
          <w:tcPr>
            <w:tcW w:w="1440" w:type="dxa"/>
            <w:vAlign w:val="center"/>
          </w:tcPr>
          <w:p w:rsidR="007A78FC" w:rsidRDefault="007A78FC" w:rsidP="00CF5992">
            <w:pPr>
              <w:pStyle w:val="NoSpacing"/>
              <w:spacing w:after="0"/>
              <w:jc w:val="center"/>
              <w:rPr>
                <w:sz w:val="24"/>
                <w:szCs w:val="24"/>
                <w:u w:val="single"/>
              </w:rPr>
            </w:pPr>
            <w:r>
              <w:rPr>
                <w:sz w:val="24"/>
                <w:szCs w:val="24"/>
                <w:u w:val="single"/>
              </w:rPr>
              <w:t>--</w:t>
            </w:r>
          </w:p>
        </w:tc>
        <w:tc>
          <w:tcPr>
            <w:tcW w:w="1800" w:type="dxa"/>
            <w:vAlign w:val="center"/>
          </w:tcPr>
          <w:p w:rsidR="007A78FC" w:rsidRDefault="007A78FC" w:rsidP="00CF5992">
            <w:pPr>
              <w:pStyle w:val="NoSpacing"/>
              <w:spacing w:after="0"/>
              <w:jc w:val="center"/>
              <w:rPr>
                <w:sz w:val="24"/>
                <w:szCs w:val="24"/>
                <w:u w:val="single"/>
              </w:rPr>
            </w:pPr>
            <w:r>
              <w:rPr>
                <w:sz w:val="24"/>
                <w:szCs w:val="24"/>
                <w:u w:val="single"/>
              </w:rPr>
              <w:t>--</w:t>
            </w:r>
          </w:p>
        </w:tc>
        <w:tc>
          <w:tcPr>
            <w:tcW w:w="1440" w:type="dxa"/>
            <w:vAlign w:val="center"/>
          </w:tcPr>
          <w:p w:rsidR="007A78FC" w:rsidRDefault="007A78FC" w:rsidP="00CF5992">
            <w:pPr>
              <w:pStyle w:val="NoSpacing"/>
              <w:spacing w:after="0"/>
              <w:jc w:val="center"/>
              <w:rPr>
                <w:sz w:val="24"/>
                <w:szCs w:val="24"/>
                <w:u w:val="single"/>
              </w:rPr>
            </w:pPr>
            <w:r>
              <w:rPr>
                <w:sz w:val="24"/>
                <w:szCs w:val="24"/>
                <w:u w:val="single"/>
              </w:rPr>
              <w:t>115,220</w:t>
            </w:r>
          </w:p>
        </w:tc>
        <w:tc>
          <w:tcPr>
            <w:tcW w:w="1440" w:type="dxa"/>
            <w:vAlign w:val="center"/>
          </w:tcPr>
          <w:p w:rsidR="007A78FC" w:rsidRDefault="00E03F96" w:rsidP="00CF5992">
            <w:pPr>
              <w:pStyle w:val="NoSpacing"/>
              <w:spacing w:after="0"/>
              <w:jc w:val="center"/>
              <w:rPr>
                <w:sz w:val="24"/>
                <w:szCs w:val="24"/>
                <w:u w:val="single"/>
              </w:rPr>
            </w:pPr>
            <w:r>
              <w:rPr>
                <w:sz w:val="24"/>
                <w:szCs w:val="24"/>
                <w:u w:val="single"/>
              </w:rPr>
              <w:t>115,220</w:t>
            </w:r>
          </w:p>
        </w:tc>
        <w:tc>
          <w:tcPr>
            <w:tcW w:w="1655" w:type="dxa"/>
            <w:vAlign w:val="center"/>
          </w:tcPr>
          <w:p w:rsidR="007A78FC" w:rsidRPr="00FF439F" w:rsidRDefault="00E03F96" w:rsidP="00CF5992">
            <w:pPr>
              <w:pStyle w:val="NoSpacing"/>
              <w:spacing w:after="0"/>
              <w:jc w:val="center"/>
              <w:rPr>
                <w:sz w:val="24"/>
                <w:szCs w:val="24"/>
                <w:u w:val="single"/>
              </w:rPr>
            </w:pPr>
            <w:r>
              <w:rPr>
                <w:sz w:val="24"/>
                <w:szCs w:val="24"/>
                <w:u w:val="single"/>
              </w:rPr>
              <w:t>3,563</w:t>
            </w:r>
          </w:p>
        </w:tc>
        <w:tc>
          <w:tcPr>
            <w:tcW w:w="1530" w:type="dxa"/>
            <w:vAlign w:val="center"/>
          </w:tcPr>
          <w:p w:rsidR="007A78FC" w:rsidRPr="00FF439F" w:rsidRDefault="00E03F96" w:rsidP="00CF5992">
            <w:pPr>
              <w:pStyle w:val="NoSpacing"/>
              <w:spacing w:after="0"/>
              <w:jc w:val="center"/>
              <w:rPr>
                <w:sz w:val="24"/>
                <w:szCs w:val="24"/>
                <w:u w:val="single"/>
              </w:rPr>
            </w:pPr>
            <w:r>
              <w:rPr>
                <w:sz w:val="24"/>
                <w:szCs w:val="24"/>
                <w:u w:val="single"/>
              </w:rPr>
              <w:t>--</w:t>
            </w:r>
          </w:p>
        </w:tc>
        <w:tc>
          <w:tcPr>
            <w:tcW w:w="1530" w:type="dxa"/>
            <w:vAlign w:val="center"/>
          </w:tcPr>
          <w:p w:rsidR="007A78FC" w:rsidRPr="00FF439F" w:rsidRDefault="00E03F96" w:rsidP="00CF5992">
            <w:pPr>
              <w:pStyle w:val="NoSpacing"/>
              <w:spacing w:after="0"/>
              <w:jc w:val="center"/>
              <w:rPr>
                <w:sz w:val="24"/>
                <w:szCs w:val="24"/>
                <w:u w:val="single"/>
              </w:rPr>
            </w:pPr>
            <w:r>
              <w:rPr>
                <w:sz w:val="24"/>
                <w:szCs w:val="24"/>
                <w:u w:val="single"/>
              </w:rPr>
              <w:t>3,563</w:t>
            </w:r>
          </w:p>
        </w:tc>
        <w:tc>
          <w:tcPr>
            <w:tcW w:w="1430" w:type="dxa"/>
            <w:vAlign w:val="center"/>
          </w:tcPr>
          <w:p w:rsidR="007A78FC" w:rsidRPr="00FF439F" w:rsidRDefault="00E03F96" w:rsidP="00CF5992">
            <w:pPr>
              <w:pStyle w:val="NoSpacing"/>
              <w:spacing w:after="0"/>
              <w:jc w:val="center"/>
              <w:rPr>
                <w:sz w:val="24"/>
                <w:szCs w:val="24"/>
                <w:u w:val="single"/>
              </w:rPr>
            </w:pPr>
            <w:r>
              <w:rPr>
                <w:sz w:val="24"/>
                <w:szCs w:val="24"/>
                <w:u w:val="single"/>
              </w:rPr>
              <w:t>118,783</w:t>
            </w:r>
          </w:p>
        </w:tc>
      </w:tr>
      <w:tr w:rsidR="007859C8" w:rsidRPr="0038283C" w:rsidTr="00FF439F">
        <w:trPr>
          <w:cantSplit/>
          <w:trHeight w:val="467"/>
          <w:jc w:val="center"/>
        </w:trPr>
        <w:tc>
          <w:tcPr>
            <w:tcW w:w="2905" w:type="dxa"/>
            <w:vAlign w:val="center"/>
          </w:tcPr>
          <w:p w:rsidR="007859C8" w:rsidRPr="000259AD" w:rsidRDefault="007859C8" w:rsidP="00CF5992">
            <w:pPr>
              <w:pStyle w:val="NoSpacing"/>
              <w:spacing w:after="0"/>
              <w:rPr>
                <w:sz w:val="24"/>
                <w:szCs w:val="24"/>
              </w:rPr>
            </w:pPr>
            <w:r w:rsidRPr="000259AD">
              <w:rPr>
                <w:sz w:val="24"/>
                <w:szCs w:val="24"/>
              </w:rPr>
              <w:t>TOTAL EXPENSES</w:t>
            </w:r>
          </w:p>
        </w:tc>
        <w:tc>
          <w:tcPr>
            <w:tcW w:w="1440" w:type="dxa"/>
            <w:vAlign w:val="center"/>
          </w:tcPr>
          <w:p w:rsidR="007859C8" w:rsidRPr="00FF439F" w:rsidRDefault="00284AE3" w:rsidP="00CF5992">
            <w:pPr>
              <w:pStyle w:val="NoSpacing"/>
              <w:spacing w:after="0"/>
              <w:jc w:val="center"/>
              <w:rPr>
                <w:sz w:val="24"/>
                <w:szCs w:val="24"/>
                <w:u w:val="double"/>
              </w:rPr>
            </w:pPr>
            <w:r w:rsidRPr="00FF439F">
              <w:rPr>
                <w:sz w:val="24"/>
                <w:szCs w:val="24"/>
                <w:u w:val="double"/>
              </w:rPr>
              <w:t>$</w:t>
            </w:r>
            <w:r w:rsidR="007A78FC">
              <w:rPr>
                <w:sz w:val="24"/>
                <w:szCs w:val="24"/>
                <w:u w:val="double"/>
              </w:rPr>
              <w:t>8,347,811</w:t>
            </w:r>
          </w:p>
        </w:tc>
        <w:tc>
          <w:tcPr>
            <w:tcW w:w="1800" w:type="dxa"/>
            <w:vAlign w:val="center"/>
          </w:tcPr>
          <w:p w:rsidR="007859C8" w:rsidRPr="00FF439F" w:rsidRDefault="007A78FC" w:rsidP="00CF5992">
            <w:pPr>
              <w:pStyle w:val="NoSpacing"/>
              <w:spacing w:after="0"/>
              <w:jc w:val="center"/>
              <w:rPr>
                <w:sz w:val="24"/>
                <w:szCs w:val="24"/>
                <w:u w:val="double"/>
              </w:rPr>
            </w:pPr>
            <w:r>
              <w:rPr>
                <w:sz w:val="24"/>
                <w:szCs w:val="24"/>
                <w:u w:val="double"/>
              </w:rPr>
              <w:t>$5,969,380</w:t>
            </w:r>
          </w:p>
        </w:tc>
        <w:tc>
          <w:tcPr>
            <w:tcW w:w="1440" w:type="dxa"/>
            <w:vAlign w:val="center"/>
          </w:tcPr>
          <w:p w:rsidR="007859C8" w:rsidRPr="00FF439F" w:rsidRDefault="007A78FC" w:rsidP="00CF5992">
            <w:pPr>
              <w:pStyle w:val="NoSpacing"/>
              <w:spacing w:after="0"/>
              <w:jc w:val="center"/>
              <w:rPr>
                <w:sz w:val="24"/>
                <w:szCs w:val="24"/>
                <w:u w:val="double"/>
              </w:rPr>
            </w:pPr>
            <w:r>
              <w:rPr>
                <w:sz w:val="24"/>
                <w:szCs w:val="24"/>
                <w:u w:val="double"/>
              </w:rPr>
              <w:t>$5,177,613</w:t>
            </w:r>
          </w:p>
        </w:tc>
        <w:tc>
          <w:tcPr>
            <w:tcW w:w="1440" w:type="dxa"/>
            <w:vAlign w:val="center"/>
          </w:tcPr>
          <w:p w:rsidR="007859C8" w:rsidRPr="00FF439F" w:rsidRDefault="007A78FC" w:rsidP="00CF5992">
            <w:pPr>
              <w:pStyle w:val="NoSpacing"/>
              <w:spacing w:after="0"/>
              <w:jc w:val="center"/>
              <w:rPr>
                <w:sz w:val="24"/>
                <w:szCs w:val="24"/>
                <w:u w:val="double"/>
              </w:rPr>
            </w:pPr>
            <w:r>
              <w:rPr>
                <w:sz w:val="24"/>
                <w:szCs w:val="24"/>
                <w:u w:val="double"/>
              </w:rPr>
              <w:t>$19,494,804</w:t>
            </w:r>
          </w:p>
        </w:tc>
        <w:tc>
          <w:tcPr>
            <w:tcW w:w="1655" w:type="dxa"/>
            <w:vAlign w:val="center"/>
          </w:tcPr>
          <w:p w:rsidR="007859C8" w:rsidRPr="00FF439F" w:rsidRDefault="00E03F96" w:rsidP="00CF5992">
            <w:pPr>
              <w:pStyle w:val="NoSpacing"/>
              <w:spacing w:after="0"/>
              <w:jc w:val="center"/>
              <w:rPr>
                <w:sz w:val="24"/>
                <w:szCs w:val="24"/>
                <w:u w:val="double"/>
              </w:rPr>
            </w:pPr>
            <w:r>
              <w:rPr>
                <w:sz w:val="24"/>
                <w:szCs w:val="24"/>
                <w:u w:val="double"/>
              </w:rPr>
              <w:t>$531,269</w:t>
            </w:r>
          </w:p>
        </w:tc>
        <w:tc>
          <w:tcPr>
            <w:tcW w:w="1530" w:type="dxa"/>
            <w:vAlign w:val="center"/>
          </w:tcPr>
          <w:p w:rsidR="007859C8" w:rsidRPr="00FF439F" w:rsidRDefault="00E03F96" w:rsidP="00E03F96">
            <w:pPr>
              <w:pStyle w:val="NoSpacing"/>
              <w:spacing w:after="0"/>
              <w:jc w:val="center"/>
              <w:rPr>
                <w:sz w:val="24"/>
                <w:szCs w:val="24"/>
                <w:u w:val="double"/>
              </w:rPr>
            </w:pPr>
            <w:r>
              <w:rPr>
                <w:sz w:val="24"/>
                <w:szCs w:val="24"/>
                <w:u w:val="double"/>
              </w:rPr>
              <w:t>$1,332,531</w:t>
            </w:r>
          </w:p>
        </w:tc>
        <w:tc>
          <w:tcPr>
            <w:tcW w:w="1530" w:type="dxa"/>
            <w:vAlign w:val="center"/>
          </w:tcPr>
          <w:p w:rsidR="007859C8" w:rsidRPr="00FF439F" w:rsidRDefault="00E03F96" w:rsidP="00CF5992">
            <w:pPr>
              <w:pStyle w:val="NoSpacing"/>
              <w:spacing w:after="0"/>
              <w:jc w:val="center"/>
              <w:rPr>
                <w:sz w:val="24"/>
                <w:szCs w:val="24"/>
                <w:u w:val="double"/>
              </w:rPr>
            </w:pPr>
            <w:r>
              <w:rPr>
                <w:sz w:val="24"/>
                <w:szCs w:val="24"/>
                <w:u w:val="double"/>
              </w:rPr>
              <w:t>$1,863,800</w:t>
            </w:r>
          </w:p>
        </w:tc>
        <w:tc>
          <w:tcPr>
            <w:tcW w:w="1430" w:type="dxa"/>
            <w:vAlign w:val="center"/>
          </w:tcPr>
          <w:p w:rsidR="007859C8" w:rsidRPr="00FF439F" w:rsidRDefault="00E03F96" w:rsidP="00CF5992">
            <w:pPr>
              <w:pStyle w:val="NoSpacing"/>
              <w:spacing w:after="0"/>
              <w:jc w:val="center"/>
              <w:rPr>
                <w:sz w:val="24"/>
                <w:szCs w:val="24"/>
                <w:u w:val="double"/>
              </w:rPr>
            </w:pPr>
            <w:r>
              <w:rPr>
                <w:sz w:val="24"/>
                <w:szCs w:val="24"/>
                <w:u w:val="double"/>
              </w:rPr>
              <w:t>$21,358,604</w:t>
            </w:r>
          </w:p>
        </w:tc>
      </w:tr>
    </w:tbl>
    <w:p w:rsidR="007859C8" w:rsidRDefault="007859C8" w:rsidP="00285FD8">
      <w:pPr>
        <w:pStyle w:val="NoSpacing"/>
      </w:pPr>
    </w:p>
    <w:p w:rsidR="0079171B" w:rsidRDefault="0079171B" w:rsidP="00285FD8">
      <w:pPr>
        <w:pStyle w:val="NoSpacing"/>
      </w:pPr>
    </w:p>
    <w:p w:rsidR="007859C8" w:rsidRDefault="0079171B" w:rsidP="0079171B">
      <w:pPr>
        <w:sectPr w:rsidR="007859C8" w:rsidSect="004C1A2B">
          <w:pgSz w:w="15840" w:h="12240" w:orient="landscape"/>
          <w:pgMar w:top="720" w:right="720" w:bottom="720" w:left="720" w:header="720" w:footer="720" w:gutter="0"/>
          <w:cols w:space="720"/>
          <w:docGrid w:linePitch="381"/>
        </w:sectPr>
      </w:pPr>
      <w:r>
        <w:br w:type="page"/>
      </w:r>
    </w:p>
    <w:p w:rsidR="0079171B" w:rsidRPr="00AC4AD6" w:rsidRDefault="00BB3056" w:rsidP="00376A2B">
      <w:pPr>
        <w:pStyle w:val="Heading2"/>
      </w:pPr>
      <w:bookmarkStart w:id="21" w:name="_Toc415727667"/>
      <w:r>
        <w:t xml:space="preserve">The </w:t>
      </w:r>
      <w:r w:rsidR="0079171B" w:rsidRPr="00652E2F">
        <w:t>National Federation of the Blind</w:t>
      </w:r>
      <w:bookmarkStart w:id="22" w:name="_Toc415727668"/>
      <w:bookmarkEnd w:id="21"/>
      <w:r>
        <w:br/>
      </w:r>
      <w:r w:rsidR="0079171B" w:rsidRPr="00652E2F">
        <w:t>T/A Blind Federation of Americ</w:t>
      </w:r>
      <w:bookmarkStart w:id="23" w:name="_Toc415727669"/>
      <w:bookmarkEnd w:id="22"/>
      <w:r>
        <w:t>a</w:t>
      </w:r>
      <w:r>
        <w:br/>
      </w:r>
      <w:r w:rsidR="00F208E3">
        <w:t xml:space="preserve">Consolidated </w:t>
      </w:r>
      <w:r w:rsidR="0079171B" w:rsidRPr="00652E2F">
        <w:t>Statement of Cash Flows</w:t>
      </w:r>
      <w:bookmarkStart w:id="24" w:name="_Toc415727670"/>
      <w:bookmarkEnd w:id="23"/>
      <w:r>
        <w:br/>
      </w:r>
      <w:r w:rsidR="0079171B" w:rsidRPr="00652E2F">
        <w:t>for the Year Ended December 31, 201</w:t>
      </w:r>
      <w:bookmarkEnd w:id="24"/>
      <w:r w:rsidR="00F208E3">
        <w:t>5</w:t>
      </w:r>
    </w:p>
    <w:p w:rsidR="0079171B" w:rsidRPr="00AC4AD6" w:rsidRDefault="0079171B" w:rsidP="00376A2B">
      <w:pPr>
        <w:pStyle w:val="Heading3"/>
      </w:pPr>
      <w:bookmarkStart w:id="25" w:name="_Toc415727671"/>
      <w:r w:rsidRPr="00AC4AD6">
        <w:t>CASH FLOWS FROM OPERATING ACTIVITIES</w:t>
      </w:r>
      <w:bookmarkEnd w:id="25"/>
    </w:p>
    <w:tbl>
      <w:tblPr>
        <w:tblStyle w:val="TableGrid"/>
        <w:tblW w:w="0" w:type="auto"/>
        <w:tblLook w:val="0640" w:firstRow="0" w:lastRow="1" w:firstColumn="0" w:lastColumn="0" w:noHBand="1" w:noVBand="1"/>
      </w:tblPr>
      <w:tblGrid>
        <w:gridCol w:w="6948"/>
        <w:gridCol w:w="2628"/>
      </w:tblGrid>
      <w:tr w:rsidR="0079171B" w:rsidTr="00CF5992">
        <w:tc>
          <w:tcPr>
            <w:tcW w:w="6948" w:type="dxa"/>
            <w:vAlign w:val="bottom"/>
          </w:tcPr>
          <w:p w:rsidR="0079171B" w:rsidRDefault="0079171B" w:rsidP="00376A2B">
            <w:pPr>
              <w:pStyle w:val="NoSpacing"/>
              <w:spacing w:after="0"/>
            </w:pPr>
            <w:r w:rsidRPr="00AC4AD6">
              <w:t>Changes in net assets</w:t>
            </w:r>
          </w:p>
        </w:tc>
        <w:tc>
          <w:tcPr>
            <w:tcW w:w="2628" w:type="dxa"/>
            <w:vAlign w:val="center"/>
          </w:tcPr>
          <w:p w:rsidR="0079171B" w:rsidRDefault="0064346C" w:rsidP="00376A2B">
            <w:pPr>
              <w:pStyle w:val="NoSpacing"/>
              <w:spacing w:after="0"/>
              <w:jc w:val="right"/>
            </w:pPr>
            <w:r>
              <w:t>$351,210</w:t>
            </w:r>
          </w:p>
        </w:tc>
      </w:tr>
      <w:tr w:rsidR="004C1A2B" w:rsidTr="00CF5992">
        <w:tc>
          <w:tcPr>
            <w:tcW w:w="6948" w:type="dxa"/>
            <w:vAlign w:val="bottom"/>
          </w:tcPr>
          <w:p w:rsidR="004C1A2B" w:rsidRPr="00AC4AD6" w:rsidRDefault="004C1A2B" w:rsidP="00376A2B">
            <w:pPr>
              <w:pStyle w:val="NoSpacing"/>
              <w:spacing w:after="0"/>
            </w:pPr>
            <w:r w:rsidRPr="00AC4AD6">
              <w:t>Adjustments to reconcile changes in net assets to net cash provided by operating activities</w:t>
            </w:r>
          </w:p>
        </w:tc>
        <w:tc>
          <w:tcPr>
            <w:tcW w:w="2628" w:type="dxa"/>
            <w:vAlign w:val="center"/>
          </w:tcPr>
          <w:p w:rsidR="004C1A2B" w:rsidRDefault="004C1A2B" w:rsidP="00376A2B">
            <w:pPr>
              <w:pStyle w:val="NoSpacing"/>
              <w:spacing w:after="0"/>
              <w:jc w:val="right"/>
            </w:pPr>
          </w:p>
        </w:tc>
      </w:tr>
      <w:tr w:rsidR="0079171B" w:rsidTr="00CF5992">
        <w:tc>
          <w:tcPr>
            <w:tcW w:w="6948" w:type="dxa"/>
            <w:vAlign w:val="bottom"/>
          </w:tcPr>
          <w:p w:rsidR="0079171B" w:rsidRDefault="0079171B" w:rsidP="00376A2B">
            <w:pPr>
              <w:pStyle w:val="NoSpacing"/>
              <w:spacing w:after="0"/>
            </w:pPr>
            <w:r w:rsidRPr="00AC4AD6">
              <w:t>Depreciation</w:t>
            </w:r>
          </w:p>
        </w:tc>
        <w:tc>
          <w:tcPr>
            <w:tcW w:w="2628" w:type="dxa"/>
            <w:vAlign w:val="center"/>
          </w:tcPr>
          <w:p w:rsidR="0079171B" w:rsidRDefault="0064346C" w:rsidP="00376A2B">
            <w:pPr>
              <w:pStyle w:val="NoSpacing"/>
              <w:spacing w:after="0"/>
              <w:jc w:val="right"/>
            </w:pPr>
            <w:r>
              <w:t>73,521</w:t>
            </w:r>
          </w:p>
        </w:tc>
      </w:tr>
      <w:tr w:rsidR="0064346C" w:rsidTr="00CF5992">
        <w:tc>
          <w:tcPr>
            <w:tcW w:w="6948" w:type="dxa"/>
            <w:vAlign w:val="bottom"/>
          </w:tcPr>
          <w:p w:rsidR="0064346C" w:rsidRPr="00AC4AD6" w:rsidRDefault="0064346C" w:rsidP="00376A2B">
            <w:pPr>
              <w:pStyle w:val="NoSpacing"/>
              <w:spacing w:after="0"/>
            </w:pPr>
            <w:r>
              <w:t>Amortization</w:t>
            </w:r>
          </w:p>
        </w:tc>
        <w:tc>
          <w:tcPr>
            <w:tcW w:w="2628" w:type="dxa"/>
            <w:vAlign w:val="center"/>
          </w:tcPr>
          <w:p w:rsidR="0064346C" w:rsidRDefault="0064346C" w:rsidP="00376A2B">
            <w:pPr>
              <w:pStyle w:val="NoSpacing"/>
              <w:spacing w:after="0"/>
              <w:jc w:val="right"/>
            </w:pPr>
            <w:r>
              <w:t>118,783</w:t>
            </w:r>
          </w:p>
        </w:tc>
      </w:tr>
      <w:tr w:rsidR="0079171B" w:rsidTr="00CF5992">
        <w:tc>
          <w:tcPr>
            <w:tcW w:w="6948" w:type="dxa"/>
            <w:vAlign w:val="bottom"/>
          </w:tcPr>
          <w:p w:rsidR="0079171B" w:rsidRDefault="0079171B" w:rsidP="00376A2B">
            <w:pPr>
              <w:pStyle w:val="NoSpacing"/>
              <w:spacing w:after="0"/>
            </w:pPr>
            <w:r>
              <w:t>Unrealized loss on investments</w:t>
            </w:r>
          </w:p>
        </w:tc>
        <w:tc>
          <w:tcPr>
            <w:tcW w:w="2628" w:type="dxa"/>
            <w:vAlign w:val="center"/>
          </w:tcPr>
          <w:p w:rsidR="0079171B" w:rsidRDefault="0064346C" w:rsidP="00376A2B">
            <w:pPr>
              <w:pStyle w:val="NoSpacing"/>
              <w:spacing w:after="0"/>
              <w:jc w:val="right"/>
            </w:pPr>
            <w:r>
              <w:t>1,536,471</w:t>
            </w:r>
          </w:p>
        </w:tc>
      </w:tr>
      <w:tr w:rsidR="0064346C" w:rsidTr="00CF5992">
        <w:tc>
          <w:tcPr>
            <w:tcW w:w="6948" w:type="dxa"/>
            <w:vAlign w:val="bottom"/>
          </w:tcPr>
          <w:p w:rsidR="0064346C" w:rsidRDefault="0064346C" w:rsidP="00CB1CFA">
            <w:pPr>
              <w:pStyle w:val="NoSpacing"/>
              <w:spacing w:after="0"/>
            </w:pPr>
            <w:r>
              <w:t>Realized loss</w:t>
            </w:r>
            <w:r w:rsidRPr="00AC4AD6">
              <w:t xml:space="preserve"> on investments</w:t>
            </w:r>
          </w:p>
        </w:tc>
        <w:tc>
          <w:tcPr>
            <w:tcW w:w="2628" w:type="dxa"/>
            <w:vAlign w:val="center"/>
          </w:tcPr>
          <w:p w:rsidR="0064346C" w:rsidRDefault="0064346C" w:rsidP="00CB1CFA">
            <w:pPr>
              <w:pStyle w:val="NoSpacing"/>
              <w:spacing w:after="0"/>
              <w:jc w:val="right"/>
            </w:pPr>
            <w:r>
              <w:t>(47,122)</w:t>
            </w:r>
          </w:p>
        </w:tc>
      </w:tr>
      <w:tr w:rsidR="0064346C" w:rsidTr="00CF5992">
        <w:tc>
          <w:tcPr>
            <w:tcW w:w="6948" w:type="dxa"/>
            <w:vAlign w:val="bottom"/>
          </w:tcPr>
          <w:p w:rsidR="0064346C" w:rsidRDefault="0064346C" w:rsidP="00376A2B">
            <w:pPr>
              <w:pStyle w:val="NoSpacing"/>
              <w:spacing w:after="0"/>
            </w:pPr>
            <w:r>
              <w:t>Net change in programmatic investments</w:t>
            </w:r>
          </w:p>
        </w:tc>
        <w:tc>
          <w:tcPr>
            <w:tcW w:w="2628" w:type="dxa"/>
            <w:vAlign w:val="center"/>
          </w:tcPr>
          <w:p w:rsidR="0064346C" w:rsidRDefault="0064346C" w:rsidP="00376A2B">
            <w:pPr>
              <w:pStyle w:val="NoSpacing"/>
              <w:spacing w:after="0"/>
              <w:jc w:val="right"/>
            </w:pPr>
            <w:r>
              <w:t>(61,411)</w:t>
            </w:r>
          </w:p>
        </w:tc>
      </w:tr>
      <w:tr w:rsidR="0064346C" w:rsidTr="00CF5992">
        <w:tc>
          <w:tcPr>
            <w:tcW w:w="6948" w:type="dxa"/>
            <w:vAlign w:val="bottom"/>
          </w:tcPr>
          <w:p w:rsidR="0064346C" w:rsidRDefault="0064346C" w:rsidP="00376A2B">
            <w:pPr>
              <w:pStyle w:val="NoSpacing"/>
              <w:spacing w:after="0"/>
            </w:pPr>
            <w:r>
              <w:t>Gain on sale of property and equipment</w:t>
            </w:r>
          </w:p>
        </w:tc>
        <w:tc>
          <w:tcPr>
            <w:tcW w:w="2628" w:type="dxa"/>
            <w:vAlign w:val="center"/>
          </w:tcPr>
          <w:p w:rsidR="0064346C" w:rsidRDefault="0064346C" w:rsidP="00376A2B">
            <w:pPr>
              <w:pStyle w:val="NoSpacing"/>
              <w:spacing w:after="0"/>
              <w:jc w:val="right"/>
            </w:pPr>
            <w:r>
              <w:t>(4,252)</w:t>
            </w:r>
          </w:p>
        </w:tc>
      </w:tr>
      <w:tr w:rsidR="0064346C" w:rsidTr="00CF5992">
        <w:tc>
          <w:tcPr>
            <w:tcW w:w="6948" w:type="dxa"/>
            <w:vAlign w:val="bottom"/>
          </w:tcPr>
          <w:p w:rsidR="0064346C" w:rsidRPr="00AC4AD6" w:rsidRDefault="0064346C" w:rsidP="00376A2B">
            <w:pPr>
              <w:pStyle w:val="NoSpacing"/>
              <w:spacing w:after="0"/>
            </w:pPr>
            <w:r>
              <w:t xml:space="preserve">Decrease (increase) in assets: </w:t>
            </w:r>
            <w:r w:rsidRPr="00AC4AD6">
              <w:t>Other receivables</w:t>
            </w:r>
          </w:p>
        </w:tc>
        <w:tc>
          <w:tcPr>
            <w:tcW w:w="2628" w:type="dxa"/>
            <w:vAlign w:val="center"/>
          </w:tcPr>
          <w:p w:rsidR="0064346C" w:rsidRPr="00AC4AD6" w:rsidRDefault="0064346C" w:rsidP="00376A2B">
            <w:pPr>
              <w:pStyle w:val="NoSpacing"/>
              <w:spacing w:after="0"/>
              <w:jc w:val="right"/>
            </w:pPr>
            <w:r>
              <w:t>(200,360)</w:t>
            </w:r>
          </w:p>
        </w:tc>
      </w:tr>
      <w:tr w:rsidR="0064346C" w:rsidTr="00CF5992">
        <w:tc>
          <w:tcPr>
            <w:tcW w:w="6948" w:type="dxa"/>
            <w:vAlign w:val="bottom"/>
          </w:tcPr>
          <w:p w:rsidR="0064346C" w:rsidRPr="00AC4AD6" w:rsidRDefault="0064346C" w:rsidP="00376A2B">
            <w:pPr>
              <w:pStyle w:val="NoSpacing"/>
              <w:spacing w:after="0"/>
            </w:pPr>
            <w:r>
              <w:t>Decrease (increase) in assets: Prepaid expenses</w:t>
            </w:r>
          </w:p>
        </w:tc>
        <w:tc>
          <w:tcPr>
            <w:tcW w:w="2628" w:type="dxa"/>
            <w:vAlign w:val="center"/>
          </w:tcPr>
          <w:p w:rsidR="0064346C" w:rsidRPr="00AC4AD6" w:rsidRDefault="0064346C" w:rsidP="00376A2B">
            <w:pPr>
              <w:pStyle w:val="NoSpacing"/>
              <w:spacing w:after="0"/>
              <w:jc w:val="right"/>
            </w:pPr>
            <w:r>
              <w:t>169,164</w:t>
            </w:r>
          </w:p>
        </w:tc>
      </w:tr>
      <w:tr w:rsidR="0064346C" w:rsidTr="00CF5992">
        <w:tc>
          <w:tcPr>
            <w:tcW w:w="6948" w:type="dxa"/>
            <w:vAlign w:val="bottom"/>
          </w:tcPr>
          <w:p w:rsidR="0064346C" w:rsidRPr="00AC4AD6" w:rsidRDefault="0064346C" w:rsidP="00376A2B">
            <w:pPr>
              <w:pStyle w:val="NoSpacing"/>
              <w:spacing w:after="0"/>
            </w:pPr>
            <w:r w:rsidRPr="00AC4AD6">
              <w:t>Increase (decrease) in liabilities:</w:t>
            </w:r>
            <w:r>
              <w:t xml:space="preserve"> </w:t>
            </w:r>
            <w:r w:rsidRPr="00AC4AD6">
              <w:t>Accounts payable and accrued expenses</w:t>
            </w:r>
          </w:p>
        </w:tc>
        <w:tc>
          <w:tcPr>
            <w:tcW w:w="2628" w:type="dxa"/>
            <w:vAlign w:val="center"/>
          </w:tcPr>
          <w:p w:rsidR="0064346C" w:rsidRPr="0064346C" w:rsidRDefault="0064346C" w:rsidP="00376A2B">
            <w:pPr>
              <w:pStyle w:val="NoSpacing"/>
              <w:spacing w:after="0"/>
              <w:jc w:val="right"/>
            </w:pPr>
            <w:r>
              <w:t>267,454</w:t>
            </w:r>
          </w:p>
        </w:tc>
      </w:tr>
      <w:tr w:rsidR="0064346C" w:rsidTr="00CF5992">
        <w:tc>
          <w:tcPr>
            <w:tcW w:w="6948" w:type="dxa"/>
            <w:vAlign w:val="bottom"/>
          </w:tcPr>
          <w:p w:rsidR="0064346C" w:rsidRPr="00AC4AD6" w:rsidRDefault="0064346C" w:rsidP="00376A2B">
            <w:pPr>
              <w:pStyle w:val="NoSpacing"/>
              <w:spacing w:after="0"/>
            </w:pPr>
            <w:r w:rsidRPr="00AC4AD6">
              <w:t>Increase (decrease) in liabilities:</w:t>
            </w:r>
            <w:r>
              <w:t xml:space="preserve"> Deferred revenue</w:t>
            </w:r>
          </w:p>
        </w:tc>
        <w:tc>
          <w:tcPr>
            <w:tcW w:w="2628" w:type="dxa"/>
            <w:vAlign w:val="center"/>
          </w:tcPr>
          <w:p w:rsidR="0064346C" w:rsidRPr="0064346C" w:rsidRDefault="0064346C" w:rsidP="00376A2B">
            <w:pPr>
              <w:pStyle w:val="NoSpacing"/>
              <w:spacing w:after="0"/>
              <w:jc w:val="right"/>
              <w:rPr>
                <w:u w:val="single"/>
              </w:rPr>
            </w:pPr>
            <w:r w:rsidRPr="0064346C">
              <w:rPr>
                <w:u w:val="single"/>
              </w:rPr>
              <w:t>59,138</w:t>
            </w:r>
          </w:p>
        </w:tc>
      </w:tr>
      <w:tr w:rsidR="0064346C" w:rsidTr="00CF5992">
        <w:trPr>
          <w:trHeight w:val="647"/>
        </w:trPr>
        <w:tc>
          <w:tcPr>
            <w:tcW w:w="6948" w:type="dxa"/>
            <w:vAlign w:val="center"/>
          </w:tcPr>
          <w:p w:rsidR="0064346C" w:rsidRPr="00AC4AD6" w:rsidRDefault="0064346C" w:rsidP="00376A2B">
            <w:pPr>
              <w:pStyle w:val="NoSpacing"/>
              <w:spacing w:after="0"/>
            </w:pPr>
            <w:r w:rsidRPr="00AC4AD6">
              <w:t>NET CASH PROVIDED BY OPERATING ACTIVITIES</w:t>
            </w:r>
          </w:p>
        </w:tc>
        <w:tc>
          <w:tcPr>
            <w:tcW w:w="2628" w:type="dxa"/>
            <w:vAlign w:val="center"/>
          </w:tcPr>
          <w:p w:rsidR="0064346C" w:rsidRPr="00CF5992" w:rsidRDefault="0064346C" w:rsidP="00376A2B">
            <w:pPr>
              <w:pStyle w:val="NoSpacing"/>
              <w:spacing w:after="0"/>
              <w:jc w:val="right"/>
              <w:rPr>
                <w:u w:val="single"/>
              </w:rPr>
            </w:pPr>
            <w:r>
              <w:rPr>
                <w:u w:val="single"/>
              </w:rPr>
              <w:t>2,262,596</w:t>
            </w:r>
          </w:p>
        </w:tc>
      </w:tr>
    </w:tbl>
    <w:p w:rsidR="0079171B" w:rsidRPr="00AC4AD6" w:rsidRDefault="0079171B" w:rsidP="00376A2B">
      <w:pPr>
        <w:pStyle w:val="Heading3"/>
      </w:pPr>
      <w:bookmarkStart w:id="26" w:name="_Toc415727672"/>
      <w:r w:rsidRPr="00AC4AD6">
        <w:t>CASH FLOWS FROM INVESTING ACTIVITIES</w:t>
      </w:r>
      <w:bookmarkEnd w:id="26"/>
    </w:p>
    <w:tbl>
      <w:tblPr>
        <w:tblStyle w:val="TableGrid"/>
        <w:tblW w:w="0" w:type="auto"/>
        <w:tblLook w:val="0640" w:firstRow="0" w:lastRow="1" w:firstColumn="0" w:lastColumn="0" w:noHBand="1" w:noVBand="1"/>
      </w:tblPr>
      <w:tblGrid>
        <w:gridCol w:w="6948"/>
        <w:gridCol w:w="2628"/>
      </w:tblGrid>
      <w:tr w:rsidR="0079171B" w:rsidTr="00CF5992">
        <w:tc>
          <w:tcPr>
            <w:tcW w:w="6948" w:type="dxa"/>
            <w:vAlign w:val="center"/>
          </w:tcPr>
          <w:p w:rsidR="0079171B" w:rsidRDefault="0079171B" w:rsidP="00CF5992">
            <w:pPr>
              <w:pStyle w:val="NoSpacing"/>
              <w:spacing w:after="0"/>
            </w:pPr>
            <w:r w:rsidRPr="00AC4AD6">
              <w:t>Cash paid for purchase of investments</w:t>
            </w:r>
          </w:p>
        </w:tc>
        <w:tc>
          <w:tcPr>
            <w:tcW w:w="2628" w:type="dxa"/>
            <w:vAlign w:val="center"/>
          </w:tcPr>
          <w:p w:rsidR="0079171B" w:rsidRDefault="006A6AF9" w:rsidP="00CF5992">
            <w:pPr>
              <w:pStyle w:val="NoSpacing"/>
              <w:spacing w:after="0"/>
              <w:jc w:val="right"/>
            </w:pPr>
            <w:r>
              <w:t>(5,789,895</w:t>
            </w:r>
            <w:r w:rsidR="004C1A2B">
              <w:t>)</w:t>
            </w:r>
          </w:p>
        </w:tc>
      </w:tr>
      <w:tr w:rsidR="0079171B" w:rsidTr="00CF5992">
        <w:tc>
          <w:tcPr>
            <w:tcW w:w="6948" w:type="dxa"/>
            <w:vAlign w:val="center"/>
          </w:tcPr>
          <w:p w:rsidR="0079171B" w:rsidRDefault="0079171B" w:rsidP="00CF5992">
            <w:pPr>
              <w:pStyle w:val="NoSpacing"/>
              <w:spacing w:after="0"/>
            </w:pPr>
            <w:r w:rsidRPr="00AC4AD6">
              <w:t>Cash proceeds from the sale of investments</w:t>
            </w:r>
          </w:p>
        </w:tc>
        <w:tc>
          <w:tcPr>
            <w:tcW w:w="2628" w:type="dxa"/>
            <w:vAlign w:val="center"/>
          </w:tcPr>
          <w:p w:rsidR="0079171B" w:rsidRDefault="006A6AF9" w:rsidP="00CF5992">
            <w:pPr>
              <w:pStyle w:val="NoSpacing"/>
              <w:spacing w:after="0"/>
              <w:jc w:val="right"/>
            </w:pPr>
            <w:r>
              <w:t>4,444,334</w:t>
            </w:r>
          </w:p>
        </w:tc>
      </w:tr>
      <w:tr w:rsidR="0079171B" w:rsidTr="00CF5992">
        <w:tc>
          <w:tcPr>
            <w:tcW w:w="6948" w:type="dxa"/>
            <w:vAlign w:val="center"/>
          </w:tcPr>
          <w:p w:rsidR="0079171B" w:rsidRDefault="0079171B" w:rsidP="00CF5992">
            <w:pPr>
              <w:pStyle w:val="NoSpacing"/>
              <w:spacing w:after="0"/>
            </w:pPr>
            <w:r w:rsidRPr="00AC4AD6">
              <w:t>Cash loaned on notes receivable</w:t>
            </w:r>
          </w:p>
        </w:tc>
        <w:tc>
          <w:tcPr>
            <w:tcW w:w="2628" w:type="dxa"/>
            <w:vAlign w:val="center"/>
          </w:tcPr>
          <w:p w:rsidR="0079171B" w:rsidRDefault="006A6AF9" w:rsidP="00CF5992">
            <w:pPr>
              <w:pStyle w:val="NoSpacing"/>
              <w:spacing w:after="0"/>
              <w:jc w:val="right"/>
            </w:pPr>
            <w:r>
              <w:t>(269,546)</w:t>
            </w:r>
          </w:p>
        </w:tc>
      </w:tr>
      <w:tr w:rsidR="0079171B" w:rsidTr="00CF5992">
        <w:tc>
          <w:tcPr>
            <w:tcW w:w="6948" w:type="dxa"/>
            <w:vAlign w:val="center"/>
          </w:tcPr>
          <w:p w:rsidR="0079171B" w:rsidRDefault="006A6AF9" w:rsidP="00CF5992">
            <w:pPr>
              <w:pStyle w:val="NoSpacing"/>
              <w:spacing w:after="0"/>
            </w:pPr>
            <w:r>
              <w:t>Cash received on</w:t>
            </w:r>
            <w:r w:rsidR="009925B6">
              <w:t xml:space="preserve"> notes</w:t>
            </w:r>
            <w:r w:rsidR="0079171B" w:rsidRPr="00AC4AD6">
              <w:t xml:space="preserve"> receivable</w:t>
            </w:r>
          </w:p>
        </w:tc>
        <w:tc>
          <w:tcPr>
            <w:tcW w:w="2628" w:type="dxa"/>
            <w:vAlign w:val="center"/>
          </w:tcPr>
          <w:p w:rsidR="0079171B" w:rsidRDefault="006A6AF9" w:rsidP="00CF5992">
            <w:pPr>
              <w:pStyle w:val="NoSpacing"/>
              <w:spacing w:after="0"/>
              <w:jc w:val="right"/>
            </w:pPr>
            <w:r>
              <w:t>34,734</w:t>
            </w:r>
          </w:p>
        </w:tc>
      </w:tr>
      <w:tr w:rsidR="0079171B" w:rsidTr="00CF5992">
        <w:tc>
          <w:tcPr>
            <w:tcW w:w="6948" w:type="dxa"/>
            <w:vAlign w:val="center"/>
          </w:tcPr>
          <w:p w:rsidR="0079171B" w:rsidRDefault="006A6AF9" w:rsidP="00CF5992">
            <w:pPr>
              <w:pStyle w:val="NoSpacing"/>
              <w:spacing w:after="0"/>
            </w:pPr>
            <w:r>
              <w:t>Proceeds received from the sale of</w:t>
            </w:r>
            <w:r w:rsidR="0079171B" w:rsidRPr="00AC4AD6">
              <w:t xml:space="preserve"> property and equipment</w:t>
            </w:r>
          </w:p>
        </w:tc>
        <w:tc>
          <w:tcPr>
            <w:tcW w:w="2628" w:type="dxa"/>
            <w:vAlign w:val="center"/>
          </w:tcPr>
          <w:p w:rsidR="0079171B" w:rsidRPr="006A6AF9" w:rsidRDefault="006A6AF9" w:rsidP="00CF5992">
            <w:pPr>
              <w:pStyle w:val="NoSpacing"/>
              <w:spacing w:after="0"/>
              <w:jc w:val="right"/>
            </w:pPr>
            <w:r>
              <w:t>4,252</w:t>
            </w:r>
          </w:p>
        </w:tc>
      </w:tr>
      <w:tr w:rsidR="006A6AF9" w:rsidTr="00CF5992">
        <w:tc>
          <w:tcPr>
            <w:tcW w:w="6948" w:type="dxa"/>
            <w:vAlign w:val="center"/>
          </w:tcPr>
          <w:p w:rsidR="006A6AF9" w:rsidRDefault="006A6AF9" w:rsidP="00CF5992">
            <w:pPr>
              <w:pStyle w:val="NoSpacing"/>
              <w:spacing w:after="0"/>
            </w:pPr>
            <w:r>
              <w:t>Purchase of intangible assets</w:t>
            </w:r>
          </w:p>
        </w:tc>
        <w:tc>
          <w:tcPr>
            <w:tcW w:w="2628" w:type="dxa"/>
            <w:vAlign w:val="center"/>
          </w:tcPr>
          <w:p w:rsidR="006A6AF9" w:rsidRPr="006A6AF9" w:rsidRDefault="006A6AF9" w:rsidP="00CF5992">
            <w:pPr>
              <w:pStyle w:val="NoSpacing"/>
              <w:spacing w:after="0"/>
              <w:jc w:val="right"/>
              <w:rPr>
                <w:u w:val="single"/>
              </w:rPr>
            </w:pPr>
            <w:r w:rsidRPr="006A6AF9">
              <w:rPr>
                <w:u w:val="single"/>
              </w:rPr>
              <w:t>(149,757)</w:t>
            </w:r>
          </w:p>
        </w:tc>
      </w:tr>
      <w:tr w:rsidR="0079171B" w:rsidTr="003F4A91">
        <w:trPr>
          <w:trHeight w:val="395"/>
        </w:trPr>
        <w:tc>
          <w:tcPr>
            <w:tcW w:w="6948" w:type="dxa"/>
            <w:vAlign w:val="center"/>
          </w:tcPr>
          <w:p w:rsidR="0079171B" w:rsidRDefault="0079171B" w:rsidP="00CF5992">
            <w:pPr>
              <w:pStyle w:val="NoSpacing"/>
              <w:spacing w:after="0"/>
            </w:pPr>
            <w:r w:rsidRPr="00AC4AD6">
              <w:t>NET CASH USED BY INVESTING ACTIVITIES</w:t>
            </w:r>
          </w:p>
        </w:tc>
        <w:tc>
          <w:tcPr>
            <w:tcW w:w="2628" w:type="dxa"/>
            <w:vAlign w:val="center"/>
          </w:tcPr>
          <w:p w:rsidR="0079171B" w:rsidRPr="00CF5992" w:rsidRDefault="006A6AF9" w:rsidP="00CF5992">
            <w:pPr>
              <w:pStyle w:val="NoSpacing"/>
              <w:spacing w:after="0"/>
              <w:jc w:val="right"/>
              <w:rPr>
                <w:u w:val="single"/>
              </w:rPr>
            </w:pPr>
            <w:r>
              <w:rPr>
                <w:u w:val="single"/>
              </w:rPr>
              <w:t>(1,725,878)</w:t>
            </w:r>
          </w:p>
        </w:tc>
      </w:tr>
    </w:tbl>
    <w:p w:rsidR="00AC632D" w:rsidRDefault="00AC632D" w:rsidP="00285FD8">
      <w:pPr>
        <w:pStyle w:val="NoSpacing"/>
      </w:pPr>
    </w:p>
    <w:tbl>
      <w:tblPr>
        <w:tblStyle w:val="TableGrid"/>
        <w:tblW w:w="0" w:type="auto"/>
        <w:tblLook w:val="04A0" w:firstRow="1" w:lastRow="0" w:firstColumn="1" w:lastColumn="0" w:noHBand="0" w:noVBand="1"/>
      </w:tblPr>
      <w:tblGrid>
        <w:gridCol w:w="6948"/>
        <w:gridCol w:w="2628"/>
      </w:tblGrid>
      <w:tr w:rsidR="00AC632D" w:rsidTr="00CF5992">
        <w:trPr>
          <w:trHeight w:val="540"/>
        </w:trPr>
        <w:tc>
          <w:tcPr>
            <w:tcW w:w="6948" w:type="dxa"/>
            <w:vAlign w:val="center"/>
          </w:tcPr>
          <w:p w:rsidR="00AC632D" w:rsidRDefault="00AC632D" w:rsidP="00CF5992">
            <w:pPr>
              <w:pStyle w:val="NoSpacing"/>
              <w:spacing w:after="0"/>
            </w:pPr>
            <w:r w:rsidRPr="00AC632D">
              <w:t>NET CHANGE IN CASH AND CASH EQUIVALENTS</w:t>
            </w:r>
          </w:p>
        </w:tc>
        <w:tc>
          <w:tcPr>
            <w:tcW w:w="2628" w:type="dxa"/>
            <w:vAlign w:val="center"/>
          </w:tcPr>
          <w:p w:rsidR="00AC632D" w:rsidRDefault="006A6AF9" w:rsidP="00CF5992">
            <w:pPr>
              <w:pStyle w:val="NoSpacing"/>
              <w:spacing w:after="0"/>
              <w:jc w:val="right"/>
            </w:pPr>
            <w:r>
              <w:t>536,718</w:t>
            </w:r>
          </w:p>
        </w:tc>
      </w:tr>
      <w:tr w:rsidR="00AC632D" w:rsidTr="00CF5992">
        <w:trPr>
          <w:trHeight w:val="810"/>
        </w:trPr>
        <w:tc>
          <w:tcPr>
            <w:tcW w:w="6948" w:type="dxa"/>
            <w:vAlign w:val="center"/>
          </w:tcPr>
          <w:p w:rsidR="00AC632D" w:rsidRDefault="00AC632D" w:rsidP="00CF5992">
            <w:pPr>
              <w:pStyle w:val="NoSpacing"/>
              <w:spacing w:after="0"/>
            </w:pPr>
            <w:r w:rsidRPr="00AC632D">
              <w:t>CASH AND CASH EQUIVALENTS – BEGINNING OF YEAR</w:t>
            </w:r>
          </w:p>
        </w:tc>
        <w:tc>
          <w:tcPr>
            <w:tcW w:w="2628" w:type="dxa"/>
            <w:vAlign w:val="center"/>
          </w:tcPr>
          <w:p w:rsidR="00AC632D" w:rsidRPr="00CF5992" w:rsidRDefault="00864851" w:rsidP="00CF5992">
            <w:pPr>
              <w:pStyle w:val="NoSpacing"/>
              <w:spacing w:after="0"/>
              <w:jc w:val="right"/>
              <w:rPr>
                <w:u w:val="single"/>
              </w:rPr>
            </w:pPr>
            <w:r>
              <w:rPr>
                <w:u w:val="single"/>
              </w:rPr>
              <w:t>2,310,083</w:t>
            </w:r>
          </w:p>
        </w:tc>
      </w:tr>
      <w:tr w:rsidR="00AC632D" w:rsidRPr="001653FB" w:rsidTr="00CF5992">
        <w:trPr>
          <w:trHeight w:val="549"/>
        </w:trPr>
        <w:tc>
          <w:tcPr>
            <w:tcW w:w="6948" w:type="dxa"/>
            <w:vAlign w:val="center"/>
          </w:tcPr>
          <w:p w:rsidR="00AC632D" w:rsidRDefault="00AC632D" w:rsidP="00CF5992">
            <w:pPr>
              <w:pStyle w:val="NoSpacing"/>
              <w:spacing w:after="0"/>
            </w:pPr>
            <w:r w:rsidRPr="00AC632D">
              <w:t>CASH AND CASH EQUIVALENTS – END OF YEAR</w:t>
            </w:r>
          </w:p>
        </w:tc>
        <w:tc>
          <w:tcPr>
            <w:tcW w:w="2628" w:type="dxa"/>
            <w:vAlign w:val="center"/>
          </w:tcPr>
          <w:p w:rsidR="00AC632D" w:rsidRPr="00CF5992" w:rsidRDefault="00864851" w:rsidP="00CF5992">
            <w:pPr>
              <w:pStyle w:val="NoSpacing"/>
              <w:spacing w:after="0"/>
              <w:jc w:val="right"/>
              <w:rPr>
                <w:u w:val="double"/>
              </w:rPr>
            </w:pPr>
            <w:r>
              <w:rPr>
                <w:u w:val="double"/>
              </w:rPr>
              <w:t>$2,846,801</w:t>
            </w:r>
          </w:p>
        </w:tc>
      </w:tr>
    </w:tbl>
    <w:p w:rsidR="004C1A2B" w:rsidRPr="004C1A2B" w:rsidRDefault="004C1A2B" w:rsidP="004C1A2B"/>
    <w:p w:rsidR="00864851" w:rsidRDefault="00864851" w:rsidP="00864851">
      <w:pPr>
        <w:pStyle w:val="Heading3"/>
      </w:pPr>
      <w:bookmarkStart w:id="27" w:name="_Toc415727674"/>
      <w:r>
        <w:t>SCHEDULE OF NONCASH INVESTING TRANSACTIONS</w:t>
      </w:r>
    </w:p>
    <w:tbl>
      <w:tblPr>
        <w:tblStyle w:val="TableGrid"/>
        <w:tblW w:w="0" w:type="auto"/>
        <w:tblLook w:val="04A0" w:firstRow="1" w:lastRow="0" w:firstColumn="1" w:lastColumn="0" w:noHBand="0" w:noVBand="1"/>
      </w:tblPr>
      <w:tblGrid>
        <w:gridCol w:w="6948"/>
        <w:gridCol w:w="2628"/>
      </w:tblGrid>
      <w:tr w:rsidR="00864851" w:rsidTr="00257B17">
        <w:tc>
          <w:tcPr>
            <w:tcW w:w="6948" w:type="dxa"/>
          </w:tcPr>
          <w:p w:rsidR="00864851" w:rsidRDefault="00257B17" w:rsidP="00864851">
            <w:r>
              <w:t>Change in notes receivable</w:t>
            </w:r>
          </w:p>
        </w:tc>
        <w:tc>
          <w:tcPr>
            <w:tcW w:w="2628" w:type="dxa"/>
          </w:tcPr>
          <w:p w:rsidR="00257B17" w:rsidRDefault="00257B17" w:rsidP="00257B17">
            <w:pPr>
              <w:jc w:val="right"/>
            </w:pPr>
            <w:r>
              <w:t>$(1,980,711)</w:t>
            </w:r>
          </w:p>
        </w:tc>
      </w:tr>
      <w:tr w:rsidR="00864851" w:rsidTr="00257B17">
        <w:tc>
          <w:tcPr>
            <w:tcW w:w="6948" w:type="dxa"/>
          </w:tcPr>
          <w:p w:rsidR="00864851" w:rsidRDefault="00257B17" w:rsidP="00864851">
            <w:r>
              <w:t>Less: Intangible asset received for note receivable value</w:t>
            </w:r>
          </w:p>
        </w:tc>
        <w:tc>
          <w:tcPr>
            <w:tcW w:w="2628" w:type="dxa"/>
          </w:tcPr>
          <w:p w:rsidR="00864851" w:rsidRPr="00257B17" w:rsidRDefault="00257B17" w:rsidP="00257B17">
            <w:pPr>
              <w:jc w:val="right"/>
              <w:rPr>
                <w:u w:val="single"/>
              </w:rPr>
            </w:pPr>
            <w:r>
              <w:rPr>
                <w:u w:val="single"/>
              </w:rPr>
              <w:t>2,215,523</w:t>
            </w:r>
          </w:p>
        </w:tc>
      </w:tr>
      <w:tr w:rsidR="00864851" w:rsidTr="00257B17">
        <w:tc>
          <w:tcPr>
            <w:tcW w:w="6948" w:type="dxa"/>
          </w:tcPr>
          <w:p w:rsidR="00864851" w:rsidRDefault="00257B17" w:rsidP="00864851">
            <w:r>
              <w:t>Change in notes receivable from cash transactions</w:t>
            </w:r>
          </w:p>
        </w:tc>
        <w:tc>
          <w:tcPr>
            <w:tcW w:w="2628" w:type="dxa"/>
          </w:tcPr>
          <w:p w:rsidR="00864851" w:rsidRDefault="00257B17" w:rsidP="00257B17">
            <w:pPr>
              <w:jc w:val="right"/>
            </w:pPr>
            <w:r>
              <w:t>234,812</w:t>
            </w:r>
          </w:p>
        </w:tc>
      </w:tr>
      <w:tr w:rsidR="00864851" w:rsidTr="00257B17">
        <w:tc>
          <w:tcPr>
            <w:tcW w:w="6948" w:type="dxa"/>
          </w:tcPr>
          <w:p w:rsidR="00864851" w:rsidRDefault="00257B17" w:rsidP="00864851">
            <w:r>
              <w:t>Add: Cash received on notes receivable</w:t>
            </w:r>
          </w:p>
        </w:tc>
        <w:tc>
          <w:tcPr>
            <w:tcW w:w="2628" w:type="dxa"/>
          </w:tcPr>
          <w:p w:rsidR="00864851" w:rsidRDefault="00257B17" w:rsidP="00257B17">
            <w:pPr>
              <w:jc w:val="right"/>
            </w:pPr>
            <w:r>
              <w:t>34,734</w:t>
            </w:r>
          </w:p>
        </w:tc>
      </w:tr>
      <w:tr w:rsidR="00864851" w:rsidTr="00257B17">
        <w:tc>
          <w:tcPr>
            <w:tcW w:w="6948" w:type="dxa"/>
          </w:tcPr>
          <w:p w:rsidR="00864851" w:rsidRDefault="00257B17" w:rsidP="00864851">
            <w:r>
              <w:t>Cash loaned on notes receivable</w:t>
            </w:r>
          </w:p>
        </w:tc>
        <w:tc>
          <w:tcPr>
            <w:tcW w:w="2628" w:type="dxa"/>
          </w:tcPr>
          <w:p w:rsidR="00864851" w:rsidRPr="00257B17" w:rsidRDefault="00257B17" w:rsidP="00257B17">
            <w:pPr>
              <w:jc w:val="right"/>
              <w:rPr>
                <w:u w:val="double"/>
              </w:rPr>
            </w:pPr>
            <w:r w:rsidRPr="00257B17">
              <w:rPr>
                <w:u w:val="double"/>
              </w:rPr>
              <w:t>$269,546</w:t>
            </w:r>
          </w:p>
        </w:tc>
      </w:tr>
    </w:tbl>
    <w:p w:rsidR="00864851" w:rsidRPr="00864851" w:rsidRDefault="00864851" w:rsidP="00864851"/>
    <w:p w:rsidR="00F46AEC" w:rsidRDefault="00F46AEC">
      <w:pPr>
        <w:spacing w:after="200" w:line="276" w:lineRule="auto"/>
        <w:rPr>
          <w:rFonts w:eastAsiaTheme="majorEastAsia" w:cstheme="majorBidi"/>
          <w:b/>
          <w:bCs/>
          <w:color w:val="363636"/>
          <w:szCs w:val="26"/>
        </w:rPr>
      </w:pPr>
      <w:r>
        <w:rPr>
          <w:color w:val="363636"/>
        </w:rPr>
        <w:br w:type="page"/>
      </w:r>
    </w:p>
    <w:p w:rsidR="004C1A2B" w:rsidRDefault="00BB3056" w:rsidP="00376A2B">
      <w:pPr>
        <w:pStyle w:val="Heading2"/>
      </w:pPr>
      <w:r w:rsidRPr="004C1A2B">
        <w:rPr>
          <w:color w:val="363636"/>
        </w:rPr>
        <w:t>T</w:t>
      </w:r>
      <w:r w:rsidRPr="004C1A2B">
        <w:t>he Nationa</w:t>
      </w:r>
      <w:r w:rsidRPr="004C1A2B">
        <w:rPr>
          <w:color w:val="363636"/>
        </w:rPr>
        <w:t>l F</w:t>
      </w:r>
      <w:r w:rsidRPr="004C1A2B">
        <w:t>ed</w:t>
      </w:r>
      <w:r w:rsidRPr="004C1A2B">
        <w:rPr>
          <w:color w:val="363636"/>
        </w:rPr>
        <w:t>e</w:t>
      </w:r>
      <w:r w:rsidRPr="004C1A2B">
        <w:t xml:space="preserve">ration Of </w:t>
      </w:r>
      <w:r w:rsidRPr="004C1A2B">
        <w:rPr>
          <w:color w:val="363636"/>
        </w:rPr>
        <w:t>Th</w:t>
      </w:r>
      <w:r w:rsidRPr="004C1A2B">
        <w:t>e B</w:t>
      </w:r>
      <w:r w:rsidRPr="004C1A2B">
        <w:rPr>
          <w:color w:val="363636"/>
        </w:rPr>
        <w:t>li</w:t>
      </w:r>
      <w:r w:rsidRPr="004C1A2B">
        <w:t>n</w:t>
      </w:r>
      <w:bookmarkStart w:id="28" w:name="_Toc415727675"/>
      <w:bookmarkEnd w:id="27"/>
      <w:r>
        <w:t>d</w:t>
      </w:r>
      <w:r>
        <w:br/>
      </w:r>
      <w:r w:rsidRPr="004C1A2B">
        <w:t>T/A Blind Federation Of America</w:t>
      </w:r>
      <w:bookmarkStart w:id="29" w:name="_Toc415727676"/>
      <w:bookmarkEnd w:id="28"/>
      <w:r>
        <w:br/>
      </w:r>
      <w:r w:rsidRPr="004C1A2B">
        <w:t>N</w:t>
      </w:r>
      <w:r w:rsidRPr="004C1A2B">
        <w:rPr>
          <w:color w:val="363636"/>
        </w:rPr>
        <w:t>o</w:t>
      </w:r>
      <w:r w:rsidRPr="004C1A2B">
        <w:t>t</w:t>
      </w:r>
      <w:r w:rsidRPr="004C1A2B">
        <w:rPr>
          <w:color w:val="363636"/>
        </w:rPr>
        <w:t>e</w:t>
      </w:r>
      <w:r w:rsidRPr="004C1A2B">
        <w:t xml:space="preserve">s To </w:t>
      </w:r>
      <w:r w:rsidR="00F46AEC">
        <w:t xml:space="preserve">Consolidated </w:t>
      </w:r>
      <w:r w:rsidRPr="004C1A2B">
        <w:t>Financia</w:t>
      </w:r>
      <w:r w:rsidRPr="004C1A2B">
        <w:rPr>
          <w:color w:val="363636"/>
        </w:rPr>
        <w:t xml:space="preserve">l </w:t>
      </w:r>
      <w:r w:rsidRPr="004C1A2B">
        <w:t>Stat</w:t>
      </w:r>
      <w:r w:rsidRPr="004C1A2B">
        <w:rPr>
          <w:color w:val="363636"/>
        </w:rPr>
        <w:t>e</w:t>
      </w:r>
      <w:r w:rsidRPr="004C1A2B">
        <w:rPr>
          <w:color w:val="0A0A0A"/>
        </w:rPr>
        <w:t>m</w:t>
      </w:r>
      <w:r w:rsidRPr="004C1A2B">
        <w:rPr>
          <w:color w:val="363636"/>
        </w:rPr>
        <w:t>e</w:t>
      </w:r>
      <w:r w:rsidRPr="004C1A2B">
        <w:rPr>
          <w:color w:val="0A0A0A"/>
        </w:rPr>
        <w:t>n</w:t>
      </w:r>
      <w:r w:rsidRPr="004C1A2B">
        <w:rPr>
          <w:color w:val="363636"/>
        </w:rPr>
        <w:t>ts</w:t>
      </w:r>
      <w:bookmarkStart w:id="30" w:name="_Toc415727677"/>
      <w:bookmarkEnd w:id="29"/>
      <w:r>
        <w:br/>
      </w:r>
      <w:r w:rsidRPr="004C1A2B">
        <w:t>December 31</w:t>
      </w:r>
      <w:r w:rsidRPr="004C1A2B">
        <w:rPr>
          <w:color w:val="4C4C4C"/>
        </w:rPr>
        <w:t xml:space="preserve">, </w:t>
      </w:r>
      <w:r w:rsidRPr="004C1A2B">
        <w:t>201</w:t>
      </w:r>
      <w:bookmarkEnd w:id="30"/>
      <w:r w:rsidR="00F46AEC">
        <w:t>5</w:t>
      </w:r>
    </w:p>
    <w:p w:rsidR="00376A2B" w:rsidRPr="00376A2B" w:rsidRDefault="00376A2B" w:rsidP="00376A2B"/>
    <w:p w:rsidR="004C1A2B" w:rsidRPr="004C1A2B" w:rsidRDefault="004C1A2B" w:rsidP="00376A2B">
      <w:pPr>
        <w:pStyle w:val="Heading3"/>
      </w:pPr>
      <w:bookmarkStart w:id="31" w:name="_Toc415727678"/>
      <w:r w:rsidRPr="004C1A2B">
        <w:t>NOTE 1 - NATURE OF THE ORGANIZATION AND SUMMARY OF SIGNIFICANT ACCOUNTING POLICIES</w:t>
      </w:r>
      <w:bookmarkEnd w:id="31"/>
    </w:p>
    <w:p w:rsidR="004C1A2B" w:rsidRPr="004C1A2B" w:rsidRDefault="004C1A2B" w:rsidP="00376A2B">
      <w:pPr>
        <w:pStyle w:val="Heading4"/>
      </w:pPr>
      <w:bookmarkStart w:id="32" w:name="_Toc415727679"/>
      <w:r w:rsidRPr="004C1A2B">
        <w:t>Nature of the Organization</w:t>
      </w:r>
      <w:bookmarkEnd w:id="32"/>
    </w:p>
    <w:p w:rsidR="004C1A2B" w:rsidRPr="00DA7F59" w:rsidRDefault="004C1A2B" w:rsidP="00376A2B">
      <w:pPr>
        <w:autoSpaceDE w:val="0"/>
        <w:autoSpaceDN w:val="0"/>
        <w:adjustRightInd w:val="0"/>
        <w:spacing w:after="240"/>
      </w:pPr>
      <w:r w:rsidRPr="00DA7F59">
        <w:t>The National Federation of the Blind T/A Blind Federation of America (</w:t>
      </w:r>
      <w:r w:rsidR="00F46AEC" w:rsidRPr="00DA7F59">
        <w:t>NFB</w:t>
      </w:r>
      <w:r w:rsidRPr="00DA7F59">
        <w:t>), headquartered in Baltimore, Maryland, is a nonprofit corporation established for the purpose of integrating the blind into society on the basis of equality.</w:t>
      </w:r>
    </w:p>
    <w:p w:rsidR="00F46AEC" w:rsidRPr="00DA7F59" w:rsidRDefault="00F46AEC" w:rsidP="00376A2B">
      <w:pPr>
        <w:autoSpaceDE w:val="0"/>
        <w:autoSpaceDN w:val="0"/>
        <w:adjustRightInd w:val="0"/>
        <w:spacing w:after="240"/>
      </w:pPr>
      <w:r w:rsidRPr="00DA7F59">
        <w:t xml:space="preserve">KNFB Reader, LLC (KNFB) was established in 2014 as a wholly-owned subsidiary of NFB. KNFB was formed to acquire, further develop, and market software applications (apps) to be of assistance and benefit to blind persons, in further pursuit of the purpose of the NFB. </w:t>
      </w:r>
    </w:p>
    <w:p w:rsidR="00F46AEC" w:rsidRDefault="00F46AEC" w:rsidP="00F46AEC">
      <w:pPr>
        <w:pStyle w:val="Heading4"/>
      </w:pPr>
      <w:r>
        <w:t>Consolidation</w:t>
      </w:r>
    </w:p>
    <w:p w:rsidR="00F46AEC" w:rsidRPr="00F46AEC" w:rsidRDefault="00F46AEC" w:rsidP="00F46AEC">
      <w:r>
        <w:t>In accordance with the Consolidation topic of the Financial Accounting Standards Board (FASB)</w:t>
      </w:r>
      <w:r w:rsidR="001D056F">
        <w:t xml:space="preserve"> Accounting Standards Codification, all wholly-owned entities are to be consolidated with the parent entity. These</w:t>
      </w:r>
      <w:r w:rsidR="000D2A00">
        <w:t xml:space="preserve"> consolidated financial stateme</w:t>
      </w:r>
      <w:r w:rsidR="001D056F">
        <w:t>n</w:t>
      </w:r>
      <w:r w:rsidR="000D2A00">
        <w:t>t</w:t>
      </w:r>
      <w:r w:rsidR="001D056F">
        <w:t xml:space="preserve">s include the accounts of the NFB and KNFB (collectively the “Federation”). All significant intercompany balances and transactions have been eliminated in the consolidation of these financial statements. </w:t>
      </w:r>
    </w:p>
    <w:p w:rsidR="004C1A2B" w:rsidRPr="004C1A2B" w:rsidRDefault="004C1A2B" w:rsidP="00376A2B">
      <w:pPr>
        <w:pStyle w:val="Heading4"/>
      </w:pPr>
      <w:bookmarkStart w:id="33" w:name="_Toc415727680"/>
      <w:r w:rsidRPr="004C1A2B">
        <w:t>Bas</w:t>
      </w:r>
      <w:r w:rsidRPr="004C1A2B">
        <w:rPr>
          <w:color w:val="1D1D1D"/>
        </w:rPr>
        <w:t>i</w:t>
      </w:r>
      <w:r w:rsidRPr="004C1A2B">
        <w:t xml:space="preserve">s </w:t>
      </w:r>
      <w:r w:rsidRPr="004C1A2B">
        <w:rPr>
          <w:color w:val="1D1D1D"/>
        </w:rPr>
        <w:t>of Pr</w:t>
      </w:r>
      <w:r w:rsidRPr="004C1A2B">
        <w:t>e</w:t>
      </w:r>
      <w:r w:rsidRPr="004C1A2B">
        <w:rPr>
          <w:color w:val="1D1D1D"/>
        </w:rPr>
        <w:t>s</w:t>
      </w:r>
      <w:r w:rsidRPr="004C1A2B">
        <w:t>e</w:t>
      </w:r>
      <w:r w:rsidRPr="004C1A2B">
        <w:rPr>
          <w:color w:val="1D1D1D"/>
        </w:rPr>
        <w:t>n</w:t>
      </w:r>
      <w:r w:rsidRPr="004C1A2B">
        <w:t>tat</w:t>
      </w:r>
      <w:r w:rsidRPr="004C1A2B">
        <w:rPr>
          <w:color w:val="1D1D1D"/>
        </w:rPr>
        <w:t>i</w:t>
      </w:r>
      <w:r w:rsidRPr="004C1A2B">
        <w:t>on</w:t>
      </w:r>
      <w:bookmarkEnd w:id="33"/>
    </w:p>
    <w:p w:rsidR="00DA7F59" w:rsidRPr="00DA7F59" w:rsidRDefault="00DA7F59" w:rsidP="00376A2B">
      <w:pPr>
        <w:autoSpaceDE w:val="0"/>
        <w:autoSpaceDN w:val="0"/>
        <w:adjustRightInd w:val="0"/>
        <w:spacing w:after="240"/>
      </w:pPr>
      <w:r w:rsidRPr="00DA7F59">
        <w:t xml:space="preserve">The Federation’s consolidated financial statements are prepared on the accrual method of accounting, which recognizes revenues and the related assets when earned, and expenses and the related liabilities when obligations are incurred. </w:t>
      </w:r>
    </w:p>
    <w:p w:rsidR="004C1A2B" w:rsidRPr="00DA7F59" w:rsidRDefault="004C1A2B" w:rsidP="00376A2B">
      <w:pPr>
        <w:autoSpaceDE w:val="0"/>
        <w:autoSpaceDN w:val="0"/>
        <w:adjustRightInd w:val="0"/>
        <w:spacing w:after="240"/>
      </w:pPr>
      <w:r w:rsidRPr="00DA7F59">
        <w:t>The Federation follows the Presentation of Financial Statements for Not-for-Profit Entities topic of the FASB Accounting Standards Codification. This pronouncement sets standards for the financial statement presentation for not-for-profit organizations. The Federation is required to report information regarding its financial position and activities according to three (3) classes of net assets: unrestricted net assets, temporarily restricted net assets and permanently restricted net assets.</w:t>
      </w:r>
    </w:p>
    <w:p w:rsidR="004C1A2B" w:rsidRPr="00DA7F59" w:rsidRDefault="004C1A2B" w:rsidP="00376A2B">
      <w:pPr>
        <w:autoSpaceDE w:val="0"/>
        <w:autoSpaceDN w:val="0"/>
        <w:adjustRightInd w:val="0"/>
        <w:spacing w:after="240"/>
      </w:pPr>
      <w:r w:rsidRPr="00DA7F59">
        <w:t>Temporarily restricted net assets include scholarship funds and other funds where the donor has restricted that the income and the corpus be used for scholarships and other specific purpose. In addition, temporarily restricted net assets include grants of which all of the funds are restricted to the specific use of</w:t>
      </w:r>
      <w:r w:rsidR="004C08B5" w:rsidRPr="00DA7F59">
        <w:t xml:space="preserve"> </w:t>
      </w:r>
      <w:r w:rsidRPr="00DA7F59">
        <w:t xml:space="preserve">the agreements. The Federation has elected to treat temporarily restricted revenue spent in the same </w:t>
      </w:r>
      <w:r w:rsidR="004C08B5" w:rsidRPr="00DA7F59">
        <w:t>year as unrestrict</w:t>
      </w:r>
      <w:r w:rsidRPr="00DA7F59">
        <w:t>ed revenue.</w:t>
      </w:r>
    </w:p>
    <w:p w:rsidR="004C1A2B" w:rsidRPr="00DA7F59" w:rsidRDefault="004C1A2B" w:rsidP="00376A2B">
      <w:pPr>
        <w:autoSpaceDE w:val="0"/>
        <w:autoSpaceDN w:val="0"/>
        <w:adjustRightInd w:val="0"/>
        <w:spacing w:after="240"/>
      </w:pPr>
      <w:r w:rsidRPr="00DA7F59">
        <w:t>Permanently restricted net assets include scholarship funds</w:t>
      </w:r>
      <w:r w:rsidR="004C08B5" w:rsidRPr="00DA7F59">
        <w:t xml:space="preserve">, </w:t>
      </w:r>
      <w:r w:rsidRPr="00DA7F59">
        <w:t>where the donor has restricted that onl</w:t>
      </w:r>
      <w:r w:rsidR="004C08B5" w:rsidRPr="00DA7F59">
        <w:t xml:space="preserve">y the </w:t>
      </w:r>
      <w:r w:rsidRPr="00DA7F59">
        <w:t>income may be used for scholarships and that the corpus may not be invaded. The income for the current</w:t>
      </w:r>
      <w:r w:rsidR="004C08B5" w:rsidRPr="00DA7F59">
        <w:t xml:space="preserve"> </w:t>
      </w:r>
      <w:r w:rsidRPr="00DA7F59">
        <w:t xml:space="preserve">year in </w:t>
      </w:r>
      <w:r w:rsidR="004C08B5" w:rsidRPr="00DA7F59">
        <w:t>t</w:t>
      </w:r>
      <w:r w:rsidRPr="00DA7F59">
        <w:t xml:space="preserve">he restricted funds that was fully utilized for its specific purpose was transferred to unrestricted </w:t>
      </w:r>
      <w:r w:rsidR="004C08B5" w:rsidRPr="00DA7F59">
        <w:t xml:space="preserve">net </w:t>
      </w:r>
      <w:r w:rsidRPr="00DA7F59">
        <w:t xml:space="preserve">assets as a fulfillment of restrictions. The Federation has elected to treat current </w:t>
      </w:r>
      <w:r w:rsidR="004C08B5" w:rsidRPr="00DA7F59">
        <w:t xml:space="preserve">year earnings on </w:t>
      </w:r>
      <w:r w:rsidRPr="00DA7F59">
        <w:t>restricted funds that were fully utilized for its specific purpose in the same year as unrestricted revenue.</w:t>
      </w:r>
    </w:p>
    <w:p w:rsidR="004C1A2B" w:rsidRPr="004C1A2B" w:rsidRDefault="004C1A2B" w:rsidP="00376A2B">
      <w:pPr>
        <w:pStyle w:val="Heading4"/>
        <w:rPr>
          <w:color w:val="1D1D1D"/>
        </w:rPr>
      </w:pPr>
      <w:bookmarkStart w:id="34" w:name="_Toc415727681"/>
      <w:r w:rsidRPr="004C1A2B">
        <w:t>Re</w:t>
      </w:r>
      <w:r w:rsidRPr="004C1A2B">
        <w:rPr>
          <w:color w:val="1D1D1D"/>
        </w:rPr>
        <w:t>v</w:t>
      </w:r>
      <w:r w:rsidRPr="004C1A2B">
        <w:t>en</w:t>
      </w:r>
      <w:r w:rsidRPr="004C1A2B">
        <w:rPr>
          <w:color w:val="1D1D1D"/>
        </w:rPr>
        <w:t>u</w:t>
      </w:r>
      <w:r w:rsidRPr="004C1A2B">
        <w:t>e Rec</w:t>
      </w:r>
      <w:r w:rsidRPr="004C1A2B">
        <w:rPr>
          <w:color w:val="1D1D1D"/>
        </w:rPr>
        <w:t>ogni</w:t>
      </w:r>
      <w:r w:rsidRPr="004C1A2B">
        <w:t>tio</w:t>
      </w:r>
      <w:r w:rsidRPr="004C1A2B">
        <w:rPr>
          <w:color w:val="1D1D1D"/>
        </w:rPr>
        <w:t>n</w:t>
      </w:r>
      <w:bookmarkEnd w:id="34"/>
    </w:p>
    <w:p w:rsidR="004C1A2B" w:rsidRPr="00DA7F59" w:rsidRDefault="004C1A2B" w:rsidP="00376A2B">
      <w:pPr>
        <w:autoSpaceDE w:val="0"/>
        <w:autoSpaceDN w:val="0"/>
        <w:adjustRightInd w:val="0"/>
        <w:spacing w:after="240"/>
      </w:pPr>
      <w:r w:rsidRPr="00DA7F59">
        <w:t>The Federation has adopted the Revenue Recognition for Not-for-Profit Entiti</w:t>
      </w:r>
      <w:r w:rsidR="004C08B5" w:rsidRPr="00DA7F59">
        <w:t xml:space="preserve">es </w:t>
      </w:r>
      <w:r w:rsidRPr="00DA7F59">
        <w:t xml:space="preserve">topic of </w:t>
      </w:r>
      <w:r w:rsidR="004C08B5" w:rsidRPr="00DA7F59">
        <w:t xml:space="preserve">the FASB </w:t>
      </w:r>
      <w:r w:rsidRPr="00DA7F59">
        <w:t>Accounting Standards Codification. In accordance with this standard, contributions received ar</w:t>
      </w:r>
      <w:r w:rsidR="004C08B5" w:rsidRPr="00DA7F59">
        <w:t xml:space="preserve">e recorded </w:t>
      </w:r>
      <w:r w:rsidRPr="00DA7F59">
        <w:t>as unrestricted, temporarily restricted or permanently restricted support. All contributions are considered to</w:t>
      </w:r>
      <w:r w:rsidR="004C08B5" w:rsidRPr="00DA7F59">
        <w:t xml:space="preserve"> </w:t>
      </w:r>
      <w:r w:rsidRPr="00DA7F59">
        <w:t>be available for unrestricted use unless specifically restricted, either temporaril</w:t>
      </w:r>
      <w:r w:rsidR="004C08B5" w:rsidRPr="00DA7F59">
        <w:t xml:space="preserve">y or </w:t>
      </w:r>
      <w:r w:rsidRPr="00DA7F59">
        <w:t xml:space="preserve">permanently, by </w:t>
      </w:r>
      <w:r w:rsidR="004C08B5" w:rsidRPr="00DA7F59">
        <w:t xml:space="preserve">the </w:t>
      </w:r>
      <w:r w:rsidRPr="00DA7F59">
        <w:t>donor.</w:t>
      </w:r>
    </w:p>
    <w:p w:rsidR="004C1A2B" w:rsidRPr="00DA7F59" w:rsidRDefault="004C1A2B" w:rsidP="00376A2B">
      <w:pPr>
        <w:autoSpaceDE w:val="0"/>
        <w:autoSpaceDN w:val="0"/>
        <w:adjustRightInd w:val="0"/>
        <w:spacing w:after="240"/>
      </w:pPr>
      <w:r w:rsidRPr="00DA7F59">
        <w:t>Contract services relate to fee-for-service arrangements. Under these contracts, the Federation recei</w:t>
      </w:r>
      <w:r w:rsidR="004C08B5" w:rsidRPr="00DA7F59">
        <w:t xml:space="preserve">ves </w:t>
      </w:r>
      <w:r w:rsidRPr="00DA7F59">
        <w:t>fees payable monthly, quarterly, or based on specific services provided. Contract services are recognized</w:t>
      </w:r>
      <w:r w:rsidR="004C08B5" w:rsidRPr="00DA7F59">
        <w:t xml:space="preserve"> </w:t>
      </w:r>
      <w:r w:rsidRPr="00DA7F59">
        <w:t xml:space="preserve">on a monthly or quarterly straight-line basis, over </w:t>
      </w:r>
      <w:r w:rsidR="004C08B5" w:rsidRPr="00DA7F59">
        <w:t>t</w:t>
      </w:r>
      <w:r w:rsidRPr="00DA7F59">
        <w:t>he course of the period specified in the contract.</w:t>
      </w:r>
    </w:p>
    <w:p w:rsidR="00330B49" w:rsidRPr="00DA7F59" w:rsidRDefault="004C1A2B" w:rsidP="00376A2B">
      <w:pPr>
        <w:autoSpaceDE w:val="0"/>
        <w:autoSpaceDN w:val="0"/>
        <w:adjustRightInd w:val="0"/>
        <w:spacing w:after="240"/>
      </w:pPr>
      <w:r w:rsidRPr="00DA7F59">
        <w:t>Government grants include monies received from government agencies in support of specific progra</w:t>
      </w:r>
      <w:r w:rsidR="004C08B5" w:rsidRPr="00DA7F59">
        <w:t xml:space="preserve">m </w:t>
      </w:r>
      <w:r w:rsidRPr="00DA7F59">
        <w:t xml:space="preserve">activities. </w:t>
      </w:r>
      <w:r w:rsidR="00D32F96">
        <w:t xml:space="preserve">Under these grants, the Federation receives monies at the onset of the grant or as reimbursements of program costs incurred by the Federation. </w:t>
      </w:r>
      <w:r w:rsidRPr="00DA7F59">
        <w:t>Revenue is</w:t>
      </w:r>
      <w:r w:rsidR="004C08B5" w:rsidRPr="00DA7F59">
        <w:t xml:space="preserve"> </w:t>
      </w:r>
      <w:r w:rsidRPr="00DA7F59">
        <w:t>recognized when there is reasonable assurance that the Federation has complied with the requirements of</w:t>
      </w:r>
      <w:r w:rsidR="004C08B5" w:rsidRPr="00DA7F59">
        <w:t xml:space="preserve"> </w:t>
      </w:r>
      <w:r w:rsidRPr="00DA7F59">
        <w:t>the grants and receipt of funds is reasonably assured.</w:t>
      </w:r>
      <w:r w:rsidR="00D32F96">
        <w:t xml:space="preserve"> Monies received prior to grant requirements being completed are reported as deferred revenue until such requirements have been met. </w:t>
      </w:r>
    </w:p>
    <w:p w:rsidR="00B86662" w:rsidRDefault="00B86662" w:rsidP="00376A2B">
      <w:pPr>
        <w:pStyle w:val="NoSpacing"/>
      </w:pPr>
      <w:r>
        <w:t xml:space="preserve">The Federation sells independence products and publications as a part of its mission to help blind individuals increase their independence and carry out daily activities. Revenue is recognized at the point of sale and is reported net of sales returns and allowances. </w:t>
      </w:r>
    </w:p>
    <w:p w:rsidR="00B86662" w:rsidRPr="00AC4AD6" w:rsidRDefault="00B86662" w:rsidP="00376A2B">
      <w:pPr>
        <w:pStyle w:val="Heading4"/>
      </w:pPr>
      <w:bookmarkStart w:id="35" w:name="_Toc415727682"/>
      <w:r>
        <w:t>Use of Estimates</w:t>
      </w:r>
      <w:bookmarkEnd w:id="35"/>
    </w:p>
    <w:p w:rsidR="00F858A0" w:rsidRDefault="00B86662" w:rsidP="00376A2B">
      <w:pPr>
        <w:spacing w:after="240"/>
      </w:pPr>
      <w:r>
        <w:t>The preparation of financial statements in conformity with accounting principles generally accepted in the United States of America requires management to make estimates and assumptions that affect the reported amounts of assets and liabilities and disclosure of contingent assets and liabilities at the date of the financial statements and the reported amounts of revenue and expenses during the reporting period. Actual results could differ from those estimates.</w:t>
      </w:r>
    </w:p>
    <w:p w:rsidR="00883441" w:rsidRDefault="00883441" w:rsidP="00883441">
      <w:pPr>
        <w:pStyle w:val="Heading4"/>
      </w:pPr>
      <w:r>
        <w:t>Fair Value of Financial Instruments</w:t>
      </w:r>
    </w:p>
    <w:p w:rsidR="00883441" w:rsidRPr="00883441" w:rsidRDefault="00883441" w:rsidP="00883441">
      <w:r>
        <w:t xml:space="preserve">The carrying amounts of financial instruments reported in the statement of financial position, including cash equivalents, receivables, prepaid expenses, accounts payable and accrued expenses approximate their fair value due to their short-term maturity. </w:t>
      </w:r>
    </w:p>
    <w:p w:rsidR="00B86662" w:rsidRDefault="00B86662" w:rsidP="00376A2B">
      <w:pPr>
        <w:pStyle w:val="Heading4"/>
      </w:pPr>
      <w:bookmarkStart w:id="36" w:name="_Toc415727683"/>
      <w:r>
        <w:t>Cash and Cash Equivalents</w:t>
      </w:r>
      <w:bookmarkEnd w:id="36"/>
    </w:p>
    <w:p w:rsidR="00B86662" w:rsidRDefault="00B86662" w:rsidP="00376A2B">
      <w:pPr>
        <w:spacing w:after="240"/>
      </w:pPr>
      <w:r>
        <w:t>For purposes of reporting cash flows, the Federation considers all highly liquid investments purchase</w:t>
      </w:r>
      <w:r w:rsidR="00A16C81">
        <w:t>d</w:t>
      </w:r>
      <w:r>
        <w:t xml:space="preserve"> with an original maturity of three (3) months or less to be a cash equivalent.</w:t>
      </w:r>
    </w:p>
    <w:p w:rsidR="00B86662" w:rsidRDefault="00B86662" w:rsidP="00376A2B">
      <w:pPr>
        <w:pStyle w:val="Heading4"/>
      </w:pPr>
      <w:bookmarkStart w:id="37" w:name="_Toc415727684"/>
      <w:r>
        <w:t>Financial Credit Risk</w:t>
      </w:r>
      <w:bookmarkEnd w:id="37"/>
    </w:p>
    <w:p w:rsidR="00253086" w:rsidRDefault="00B86662" w:rsidP="00376A2B">
      <w:pPr>
        <w:spacing w:after="240"/>
      </w:pPr>
      <w:r>
        <w:t>The Federation maintains its cash balances at several financial institutions. The balances are insured by the Federal Deposit Insurance Corporation (FDIC) up to insured limits. As of December 31,</w:t>
      </w:r>
      <w:r w:rsidR="00883441">
        <w:t xml:space="preserve"> 2015</w:t>
      </w:r>
      <w:r>
        <w:t>, the Federation's cash balances wer</w:t>
      </w:r>
      <w:r w:rsidR="00253086">
        <w:t>e in excess of these insured limits. Management believes that the Federation is not exposed to any significant credit risk with respect to its cash balances. In addition, the Federation generally maintains investment balances in excess of the Securities Investor Protection Corporation (SIPC) limits.</w:t>
      </w:r>
    </w:p>
    <w:p w:rsidR="00253086" w:rsidRDefault="00253086" w:rsidP="00376A2B">
      <w:pPr>
        <w:spacing w:after="240"/>
      </w:pPr>
      <w:r>
        <w:t>The Federation invests in various investment securities. Investment securities are exposed to various risks such as interest rate, market and credit risks. Due to the level of risk associated with certain investment securities, it is at least reasonably possible that changes in the value of investment securities will occur in the near term and those changes could materially affect the value reported in the financial statements.</w:t>
      </w:r>
    </w:p>
    <w:p w:rsidR="00253086" w:rsidRDefault="00253086" w:rsidP="00376A2B">
      <w:pPr>
        <w:pStyle w:val="Heading4"/>
      </w:pPr>
      <w:bookmarkStart w:id="38" w:name="_Toc415727685"/>
      <w:r>
        <w:t>Notes Receivable</w:t>
      </w:r>
      <w:bookmarkEnd w:id="38"/>
    </w:p>
    <w:p w:rsidR="00253086" w:rsidRDefault="00253086" w:rsidP="00376A2B">
      <w:pPr>
        <w:pStyle w:val="NoSpacing"/>
      </w:pPr>
      <w:r w:rsidRPr="00AC4AD6">
        <w:t>Balances in notes receivable represent loans to organizations and individuals who support the Federation's mission of encouraging independence and supporting entrepreneurship among the blind. Interest is recognized over the term of the loan and is calculated using the simple-interest method on principal amounts outstanding. Management evaluates the creditworthiness of each borrower prior to the issuance of these loans. Past due accounts are determined by management based on historical experience and other relevant factors. On a periodic basis, the Federation writes off uncollectible balances, after exhausting reasonable collection efforts. Based on management's historical experience, management considers all notes receivable to be fully collectible; therefore, no allowance for doubtful accounts has been reflected in the financial statements.</w:t>
      </w:r>
    </w:p>
    <w:p w:rsidR="00253086" w:rsidRDefault="00253086" w:rsidP="00376A2B">
      <w:pPr>
        <w:pStyle w:val="Heading4"/>
      </w:pPr>
      <w:bookmarkStart w:id="39" w:name="_Toc415727686"/>
      <w:r>
        <w:t>Other Receivables</w:t>
      </w:r>
      <w:bookmarkEnd w:id="39"/>
    </w:p>
    <w:p w:rsidR="00253086" w:rsidRDefault="00253086" w:rsidP="00376A2B">
      <w:pPr>
        <w:pStyle w:val="NoSpacing"/>
      </w:pPr>
      <w:r w:rsidRPr="00AC4AD6">
        <w:t>Other receivables represent monies due from granto</w:t>
      </w:r>
      <w:r w:rsidR="00E00F15">
        <w:t>rs and other third parties</w:t>
      </w:r>
      <w:r w:rsidR="001F7B7C">
        <w:t xml:space="preserve"> and amounts related to KNFB Reader sales</w:t>
      </w:r>
      <w:r w:rsidR="00E00F15">
        <w:t xml:space="preserve">. The </w:t>
      </w:r>
      <w:r w:rsidRPr="00AC4AD6">
        <w:t>Federation considers various factors as of the date of the financial statements in evaluating the credit quality of these balances, including historical collection experience and assessment of the counterparties' ability to repay their obligations. Based on these factors, management considers other receivables to be fully collectible; therefore, no allowance for doubtful accounts has been reflect</w:t>
      </w:r>
      <w:r>
        <w:t>ed in the financial statements.</w:t>
      </w:r>
    </w:p>
    <w:p w:rsidR="00873B21" w:rsidRPr="00996EB2" w:rsidRDefault="00253086" w:rsidP="00376A2B">
      <w:pPr>
        <w:pStyle w:val="Heading4"/>
      </w:pPr>
      <w:bookmarkStart w:id="40" w:name="_Toc415727687"/>
      <w:r>
        <w:t>Investments</w:t>
      </w:r>
      <w:bookmarkEnd w:id="40"/>
    </w:p>
    <w:p w:rsidR="00873B21" w:rsidRPr="00AC4AD6" w:rsidRDefault="00873B21" w:rsidP="00376A2B">
      <w:pPr>
        <w:pStyle w:val="NoSpacing"/>
      </w:pPr>
      <w:r w:rsidRPr="00AC4AD6">
        <w:t>The Federation's investment portfolio is classified as trading and is reported at its fair value, based on quoted ma</w:t>
      </w:r>
      <w:r w:rsidR="001F7B7C">
        <w:t>rket prices at December 31, 2015</w:t>
      </w:r>
      <w:r w:rsidRPr="00AC4AD6">
        <w:t>.  Realized and unrealized holding gains and losses on trading securities with readily determinable market values are included in investment income in the statements of activities. Included in the investm</w:t>
      </w:r>
      <w:r>
        <w:t>ent balance at Decem</w:t>
      </w:r>
      <w:r w:rsidR="0019204C">
        <w:t>ber 31, 2015</w:t>
      </w:r>
      <w:r w:rsidRPr="00AC4AD6">
        <w:t xml:space="preserve"> is $237,468 of permanently restricted funds. These funds are to be used for scholarships, as designated by the donor.</w:t>
      </w:r>
    </w:p>
    <w:p w:rsidR="00873B21" w:rsidRDefault="00873B21" w:rsidP="00376A2B">
      <w:pPr>
        <w:pStyle w:val="NoSpacing"/>
      </w:pPr>
      <w:r w:rsidRPr="00AC4AD6">
        <w:t>Alternative investments are recorded under the equity or cost methods of accounting, as appropriate, in accordance with Investments – Equity and Joint Ventures Investments topic of the FASB Accounting Standards Codification. When the Federation owns less than a 20% interest and does not exert significant influence over the investment entity, the Federation applies the cost method of accounting. Under the cost method, any dividends received are recognized as investment income and a gain or loss is only reported when the investment is sold. When the Federation has a controlling interest and can exert significant influence, the Federation applies the equity method of accounting</w:t>
      </w:r>
      <w:r>
        <w:t xml:space="preserve">. </w:t>
      </w:r>
      <w:r w:rsidRPr="00AC4AD6">
        <w:t xml:space="preserve">Under the equity method of accounting, the Federation increases its investments for cash contributions and its share of the investee’s net income and decreases its investments for cash distributions and its share of the investee’s net loss. The fair value of these investments has not been estimated because it is not practicable to estimate fair value on these investments. See </w:t>
      </w:r>
      <w:r>
        <w:t xml:space="preserve">Note 5 for a discussion of alternative investments and </w:t>
      </w:r>
      <w:r w:rsidRPr="00AC4AD6">
        <w:t>Note 6 for a discussion of fair value measurements.</w:t>
      </w:r>
    </w:p>
    <w:p w:rsidR="005D7260" w:rsidRPr="005D7260" w:rsidRDefault="0098161F" w:rsidP="00376A2B">
      <w:pPr>
        <w:pStyle w:val="Heading4"/>
      </w:pPr>
      <w:bookmarkStart w:id="41" w:name="_Toc415727690"/>
      <w:r>
        <w:t>Property and Eq</w:t>
      </w:r>
      <w:r w:rsidR="005D7260" w:rsidRPr="005D7260">
        <w:t>uipment</w:t>
      </w:r>
      <w:bookmarkEnd w:id="41"/>
    </w:p>
    <w:p w:rsidR="005D7260" w:rsidRDefault="0098161F" w:rsidP="00376A2B">
      <w:pPr>
        <w:autoSpaceDE w:val="0"/>
        <w:autoSpaceDN w:val="0"/>
        <w:adjustRightInd w:val="0"/>
        <w:spacing w:after="240"/>
      </w:pPr>
      <w:r>
        <w:t>Property and equipment i</w:t>
      </w:r>
      <w:r w:rsidR="005D7260" w:rsidRPr="005D7260">
        <w:t>s recorded at cost, net of accumulated de</w:t>
      </w:r>
      <w:r>
        <w:t xml:space="preserve">preciation. Major additions and </w:t>
      </w:r>
      <w:r w:rsidR="005D7260" w:rsidRPr="0098161F">
        <w:rPr>
          <w:bCs/>
        </w:rPr>
        <w:t xml:space="preserve">betterments are charged to the asset accounts while maintenance and repairs </w:t>
      </w:r>
      <w:r w:rsidRPr="0098161F">
        <w:rPr>
          <w:bCs/>
        </w:rPr>
        <w:t>wh</w:t>
      </w:r>
      <w:r w:rsidR="005D7260" w:rsidRPr="0098161F">
        <w:rPr>
          <w:bCs/>
        </w:rPr>
        <w:t>ich do not improve or</w:t>
      </w:r>
      <w:r>
        <w:t xml:space="preserve"> </w:t>
      </w:r>
      <w:r w:rsidR="005D7260" w:rsidRPr="005D7260">
        <w:t>extend the lives o</w:t>
      </w:r>
      <w:r>
        <w:t xml:space="preserve">f the assets are expensed when incurred. Contributed property is recorded at fair value </w:t>
      </w:r>
      <w:r w:rsidR="005D7260" w:rsidRPr="005D7260">
        <w:t xml:space="preserve">at the date of </w:t>
      </w:r>
      <w:r>
        <w:t xml:space="preserve">donation. </w:t>
      </w:r>
      <w:r w:rsidR="0019204C">
        <w:t xml:space="preserve">The cost of assets sold, retired, or otherwise disposed of, and the related accumulated depreciation is eliminated from the accounts, and any resulting gains or losses are included in operations. </w:t>
      </w:r>
      <w:r>
        <w:t>Depreciation expense i</w:t>
      </w:r>
      <w:r w:rsidR="005D7260" w:rsidRPr="005D7260">
        <w:t>s</w:t>
      </w:r>
      <w:r>
        <w:t xml:space="preserve"> calculated using the straight-l</w:t>
      </w:r>
      <w:r w:rsidR="005D7260" w:rsidRPr="005D7260">
        <w:t xml:space="preserve">ine method </w:t>
      </w:r>
      <w:r w:rsidR="005D7260" w:rsidRPr="0098161F">
        <w:rPr>
          <w:iCs/>
        </w:rPr>
        <w:t xml:space="preserve">over </w:t>
      </w:r>
      <w:r>
        <w:t xml:space="preserve">the </w:t>
      </w:r>
      <w:r w:rsidR="005D7260" w:rsidRPr="005D7260">
        <w:t>estimated useful lives of the respective assets.</w:t>
      </w:r>
    </w:p>
    <w:p w:rsidR="0019204C" w:rsidRDefault="0019204C" w:rsidP="0019204C">
      <w:pPr>
        <w:pStyle w:val="Heading4"/>
      </w:pPr>
      <w:r>
        <w:t>Intangible Assets</w:t>
      </w:r>
    </w:p>
    <w:p w:rsidR="0019204C" w:rsidRDefault="0019204C" w:rsidP="0019204C">
      <w:r>
        <w:t xml:space="preserve">In accordance with the topic Intangibles – Goodwill and Other of the FASB Accounting Standards Codification, identified intangible assets other than goodwill are amortized over their useful lives. Definite-lived intangible assets are amortized using the straight-line method over their estimated period of benefit. Management estimates the estimated useful lives range from sixteen (16) to thirty (30) years. </w:t>
      </w:r>
    </w:p>
    <w:p w:rsidR="0019204C" w:rsidRDefault="0019204C" w:rsidP="0019204C"/>
    <w:p w:rsidR="0019204C" w:rsidRPr="0019204C" w:rsidRDefault="0019204C" w:rsidP="0019204C">
      <w:r>
        <w:t xml:space="preserve">The Federation makes certain estimates and assumptions in order to determine the fair value of net assets and liabilities, including, among other things, an assessment of market conditions, projected cash flows, cost of capital and growth rates, which could significantly impact the reported value of intangible assets. Estimating future cash flows requires significant judgment and the projections may vary from cash flows eventually realized. No indicators of impairment were identified in 2015. </w:t>
      </w:r>
    </w:p>
    <w:p w:rsidR="005D7260" w:rsidRPr="005D7260" w:rsidRDefault="0098161F" w:rsidP="00376A2B">
      <w:pPr>
        <w:pStyle w:val="Heading4"/>
      </w:pPr>
      <w:bookmarkStart w:id="42" w:name="_Toc415727691"/>
      <w:r>
        <w:t>Valuation of Long-</w:t>
      </w:r>
      <w:r w:rsidR="005D7260" w:rsidRPr="005D7260">
        <w:t>Lived Assets</w:t>
      </w:r>
      <w:bookmarkEnd w:id="42"/>
    </w:p>
    <w:p w:rsidR="005D7260" w:rsidRPr="005D7260" w:rsidRDefault="005D7260" w:rsidP="00496B1A">
      <w:pPr>
        <w:autoSpaceDE w:val="0"/>
        <w:autoSpaceDN w:val="0"/>
        <w:adjustRightInd w:val="0"/>
      </w:pPr>
      <w:r w:rsidRPr="005D7260">
        <w:t xml:space="preserve">The Federation accounts for the valuation of long-lived assets under </w:t>
      </w:r>
      <w:r w:rsidR="0019204C">
        <w:t xml:space="preserve">the </w:t>
      </w:r>
      <w:r w:rsidRPr="005D7260">
        <w:t>Impairment or Di</w:t>
      </w:r>
      <w:r w:rsidR="0098161F">
        <w:t>sposal of Long-Lived Assets topic of the FASB Ac</w:t>
      </w:r>
      <w:r w:rsidRPr="005D7260">
        <w:t>counting Standards Codification. Long-liv</w:t>
      </w:r>
      <w:r w:rsidR="0098161F">
        <w:t xml:space="preserve">ed assets, such as property and </w:t>
      </w:r>
      <w:r w:rsidRPr="0098161F">
        <w:rPr>
          <w:bCs/>
        </w:rPr>
        <w:t>equipment and purcha</w:t>
      </w:r>
      <w:r w:rsidR="00854DDB">
        <w:rPr>
          <w:bCs/>
        </w:rPr>
        <w:t>sed intangibles subject to amort</w:t>
      </w:r>
      <w:r w:rsidRPr="0098161F">
        <w:rPr>
          <w:bCs/>
        </w:rPr>
        <w:t>ization, are reviewed for impairment whenever</w:t>
      </w:r>
      <w:r w:rsidR="0098161F">
        <w:t xml:space="preserve"> events or changes in circumstances i</w:t>
      </w:r>
      <w:r w:rsidRPr="005D7260">
        <w:t>ndicate that the carrying amount of a</w:t>
      </w:r>
      <w:r w:rsidR="0098161F">
        <w:t xml:space="preserve">n asset may not be recoverable, </w:t>
      </w:r>
      <w:r w:rsidRPr="005D7260">
        <w:t>and evalu</w:t>
      </w:r>
      <w:r w:rsidR="0098161F">
        <w:t>ated at least annually. Recoverabi</w:t>
      </w:r>
      <w:r w:rsidRPr="005D7260">
        <w:t>l</w:t>
      </w:r>
      <w:r w:rsidR="0098161F">
        <w:t>ity of</w:t>
      </w:r>
      <w:r w:rsidRPr="005D7260">
        <w:t xml:space="preserve"> assets to be held an</w:t>
      </w:r>
      <w:r w:rsidR="0098161F">
        <w:t xml:space="preserve">d used is measured by comparing </w:t>
      </w:r>
      <w:r w:rsidRPr="005D7260">
        <w:t>the carrying amou</w:t>
      </w:r>
      <w:r w:rsidR="0098161F">
        <w:t>nt of an asset to estimated undi</w:t>
      </w:r>
      <w:r w:rsidRPr="005D7260">
        <w:t xml:space="preserve">scounted future cash flows expected </w:t>
      </w:r>
      <w:r w:rsidR="00854DDB">
        <w:t>to be generated by the asset. If the ca</w:t>
      </w:r>
      <w:r w:rsidRPr="005D7260">
        <w:t xml:space="preserve">rrying amount or an asset exceeds </w:t>
      </w:r>
      <w:r w:rsidR="00854DDB">
        <w:t xml:space="preserve">its estimated future cash flows, an impairment </w:t>
      </w:r>
      <w:r w:rsidRPr="005D7260">
        <w:t>charge is recognized in the amount by which the carrying a</w:t>
      </w:r>
      <w:r w:rsidR="00854DDB">
        <w:t>mount of the asset exceeds the fair value of the asset. Assets to be disposed of would be</w:t>
      </w:r>
      <w:r w:rsidRPr="005D7260">
        <w:t xml:space="preserve"> separately presented in the stat</w:t>
      </w:r>
      <w:r w:rsidR="00854DDB">
        <w:t xml:space="preserve">ement of financial position and </w:t>
      </w:r>
      <w:r w:rsidRPr="005D7260">
        <w:t>reported at the lower of the carrying amount or fair value less costs to sell, and are no longer depreciated.</w:t>
      </w:r>
      <w:r w:rsidR="00496B1A">
        <w:t xml:space="preserve"> </w:t>
      </w:r>
      <w:r w:rsidRPr="005D7260">
        <w:t>The assets and liabilities of a disposed group classified as held for safe w</w:t>
      </w:r>
      <w:r w:rsidR="00854DDB">
        <w:t xml:space="preserve">ould be presented separately in </w:t>
      </w:r>
      <w:r w:rsidRPr="005D7260">
        <w:t>the appropriate asset and liability sections of the statement of financial po</w:t>
      </w:r>
      <w:r w:rsidR="00854DDB">
        <w:t>sition. Management believes the value of long-</w:t>
      </w:r>
      <w:r w:rsidRPr="005D7260">
        <w:t>lived assets exceed their carryi</w:t>
      </w:r>
      <w:r w:rsidR="00496B1A">
        <w:t>ng value as of December 31, 2015</w:t>
      </w:r>
      <w:r w:rsidRPr="005D7260">
        <w:t>.</w:t>
      </w:r>
    </w:p>
    <w:p w:rsidR="005D7260" w:rsidRPr="005D7260" w:rsidRDefault="005D7260" w:rsidP="00376A2B">
      <w:pPr>
        <w:pStyle w:val="Heading4"/>
      </w:pPr>
      <w:bookmarkStart w:id="43" w:name="_Toc415727692"/>
      <w:r w:rsidRPr="005D7260">
        <w:t>Accrued Annuity Benefit</w:t>
      </w:r>
      <w:bookmarkEnd w:id="43"/>
    </w:p>
    <w:p w:rsidR="005D7260" w:rsidRPr="005D7260" w:rsidRDefault="005D7260" w:rsidP="00376A2B">
      <w:pPr>
        <w:autoSpaceDE w:val="0"/>
        <w:autoSpaceDN w:val="0"/>
        <w:adjustRightInd w:val="0"/>
        <w:spacing w:after="240"/>
      </w:pPr>
      <w:r w:rsidRPr="005D7260">
        <w:t>The Federation had esta</w:t>
      </w:r>
      <w:r w:rsidR="00854DDB">
        <w:t>blished a charitable gift annuit</w:t>
      </w:r>
      <w:r w:rsidRPr="005D7260">
        <w:t xml:space="preserve">y program where </w:t>
      </w:r>
      <w:r w:rsidR="00854DDB">
        <w:t xml:space="preserve">donors may contribute assets </w:t>
      </w:r>
      <w:r w:rsidR="00854DDB" w:rsidRPr="00854DDB">
        <w:t xml:space="preserve">to </w:t>
      </w:r>
      <w:r w:rsidRPr="00854DDB">
        <w:rPr>
          <w:bCs/>
        </w:rPr>
        <w:t>the Federation and in return recei</w:t>
      </w:r>
      <w:r w:rsidR="00854DDB">
        <w:rPr>
          <w:bCs/>
        </w:rPr>
        <w:t>ve a guaranteed fixed i</w:t>
      </w:r>
      <w:r w:rsidR="00854DDB" w:rsidRPr="00854DDB">
        <w:rPr>
          <w:bCs/>
        </w:rPr>
        <w:t>ncome for</w:t>
      </w:r>
      <w:r w:rsidRPr="00854DDB">
        <w:rPr>
          <w:bCs/>
        </w:rPr>
        <w:t xml:space="preserve"> life. The Federation maintains a</w:t>
      </w:r>
      <w:r w:rsidR="00854DDB" w:rsidRPr="00854DDB">
        <w:t xml:space="preserve"> </w:t>
      </w:r>
      <w:r w:rsidRPr="00854DDB">
        <w:t>segregated investment account to hold reserves required for gi</w:t>
      </w:r>
      <w:r w:rsidR="004C7C3D">
        <w:t>f</w:t>
      </w:r>
      <w:r w:rsidRPr="00854DDB">
        <w:t xml:space="preserve">t annuity instruments. </w:t>
      </w:r>
      <w:r w:rsidR="00854DDB">
        <w:t xml:space="preserve">As of December 31, </w:t>
      </w:r>
      <w:r w:rsidR="00CB1CFA">
        <w:t>2015</w:t>
      </w:r>
      <w:r w:rsidRPr="005D7260">
        <w:t>, the balance in this rese</w:t>
      </w:r>
      <w:r w:rsidR="00CB1CFA">
        <w:t>rve account amounted to $95,725</w:t>
      </w:r>
      <w:r w:rsidRPr="005D7260">
        <w:t xml:space="preserve"> and is adequate to </w:t>
      </w:r>
      <w:r w:rsidR="00854DDB" w:rsidRPr="00854DDB">
        <w:rPr>
          <w:iCs/>
        </w:rPr>
        <w:t>cover</w:t>
      </w:r>
      <w:r w:rsidR="00854DDB">
        <w:t xml:space="preserve"> the accrued </w:t>
      </w:r>
      <w:r w:rsidRPr="005D7260">
        <w:t>annuity benefit liability. The Federation recognizes contribution revenue for</w:t>
      </w:r>
      <w:r w:rsidR="00854DDB">
        <w:t xml:space="preserve"> the difference between the fair </w:t>
      </w:r>
      <w:r w:rsidRPr="005D7260">
        <w:t>value of the asset</w:t>
      </w:r>
      <w:r w:rsidR="00854DDB">
        <w:t>s received and the annuity liabi</w:t>
      </w:r>
      <w:r w:rsidRPr="005D7260">
        <w:t>l</w:t>
      </w:r>
      <w:r w:rsidR="00854DDB">
        <w:t>ity. The accrued annuity benefit</w:t>
      </w:r>
      <w:r w:rsidRPr="005D7260">
        <w:t xml:space="preserve"> </w:t>
      </w:r>
      <w:r w:rsidR="00854DDB">
        <w:rPr>
          <w:rFonts w:eastAsia="HiddenHorzOCR"/>
        </w:rPr>
        <w:t>liabil</w:t>
      </w:r>
      <w:r w:rsidRPr="005D7260">
        <w:rPr>
          <w:rFonts w:eastAsia="HiddenHorzOCR"/>
        </w:rPr>
        <w:t xml:space="preserve">ity </w:t>
      </w:r>
      <w:r w:rsidR="00854DDB">
        <w:t xml:space="preserve">represents </w:t>
      </w:r>
      <w:r w:rsidRPr="005D7260">
        <w:t>monies tempor</w:t>
      </w:r>
      <w:r w:rsidR="00854DDB">
        <w:t>arily restricted until the annui</w:t>
      </w:r>
      <w:r w:rsidRPr="005D7260">
        <w:t>ty is satisfied.</w:t>
      </w:r>
    </w:p>
    <w:p w:rsidR="005D7260" w:rsidRPr="00854DDB" w:rsidRDefault="005D7260" w:rsidP="00376A2B">
      <w:pPr>
        <w:autoSpaceDE w:val="0"/>
        <w:autoSpaceDN w:val="0"/>
        <w:adjustRightInd w:val="0"/>
        <w:spacing w:after="240"/>
      </w:pPr>
      <w:r w:rsidRPr="005D7260">
        <w:t>Annuity be</w:t>
      </w:r>
      <w:r w:rsidR="00854DDB">
        <w:t>nefit liabilities are recorded for the requi</w:t>
      </w:r>
      <w:r w:rsidRPr="005D7260">
        <w:t>red life annuity payments at the pres</w:t>
      </w:r>
      <w:r w:rsidR="00854DDB">
        <w:t xml:space="preserve">ent value of </w:t>
      </w:r>
      <w:r w:rsidRPr="005D7260">
        <w:t xml:space="preserve">expected future </w:t>
      </w:r>
      <w:r w:rsidR="00854DDB">
        <w:t>cash payments discounted using interest rates at the date of gift and actuarial assumptions. The calculation of</w:t>
      </w:r>
      <w:r w:rsidRPr="005D7260">
        <w:t xml:space="preserve"> the liability </w:t>
      </w:r>
      <w:r w:rsidR="00854DDB">
        <w:t>inclu</w:t>
      </w:r>
      <w:r w:rsidRPr="005D7260">
        <w:t xml:space="preserve">des a donor's estimated </w:t>
      </w:r>
      <w:r w:rsidR="00854DDB">
        <w:rPr>
          <w:rFonts w:eastAsia="HiddenHorzOCR"/>
        </w:rPr>
        <w:t>lif</w:t>
      </w:r>
      <w:r w:rsidRPr="005D7260">
        <w:rPr>
          <w:rFonts w:eastAsia="HiddenHorzOCR"/>
        </w:rPr>
        <w:t xml:space="preserve">e </w:t>
      </w:r>
      <w:r w:rsidR="00854DDB">
        <w:t xml:space="preserve">expectancy. The annuity </w:t>
      </w:r>
      <w:r w:rsidRPr="005D7260">
        <w:t>obligations are adjusted each year for chan</w:t>
      </w:r>
      <w:r w:rsidR="00854DDB">
        <w:t>ges in the life</w:t>
      </w:r>
      <w:r w:rsidRPr="005D7260">
        <w:t xml:space="preserve"> expectancy of th</w:t>
      </w:r>
      <w:r w:rsidR="00854DDB">
        <w:t xml:space="preserve">e beneficiaries and are reduced </w:t>
      </w:r>
      <w:r w:rsidRPr="005D7260">
        <w:t>as payments are made to the donor. This program has since been di</w:t>
      </w:r>
      <w:r w:rsidR="00854DDB">
        <w:t xml:space="preserve">scontinued. The accrued annuity </w:t>
      </w:r>
      <w:r w:rsidRPr="005D7260">
        <w:t xml:space="preserve">benefit </w:t>
      </w:r>
      <w:r w:rsidR="00854DDB">
        <w:rPr>
          <w:rFonts w:eastAsia="HiddenHorzOCR"/>
        </w:rPr>
        <w:t>li</w:t>
      </w:r>
      <w:r w:rsidRPr="005D7260">
        <w:rPr>
          <w:rFonts w:eastAsia="HiddenHorzOCR"/>
        </w:rPr>
        <w:t xml:space="preserve">ability </w:t>
      </w:r>
      <w:r w:rsidR="00854DDB">
        <w:t>at December 31</w:t>
      </w:r>
      <w:r w:rsidR="00626271">
        <w:t>, 2015</w:t>
      </w:r>
      <w:r w:rsidRPr="005D7260">
        <w:t xml:space="preserve"> includes future payments for beneficiaries who entered th</w:t>
      </w:r>
      <w:r w:rsidR="00854DDB">
        <w:t xml:space="preserve">e </w:t>
      </w:r>
      <w:r w:rsidR="00854DDB" w:rsidRPr="00854DDB">
        <w:t xml:space="preserve">program </w:t>
      </w:r>
      <w:r w:rsidRPr="00854DDB">
        <w:rPr>
          <w:bCs/>
        </w:rPr>
        <w:t>prior to its termination.</w:t>
      </w:r>
    </w:p>
    <w:p w:rsidR="005D7260" w:rsidRPr="005D7260" w:rsidRDefault="005D7260" w:rsidP="00376A2B">
      <w:pPr>
        <w:pStyle w:val="Heading4"/>
      </w:pPr>
      <w:bookmarkStart w:id="44" w:name="_Toc415727693"/>
      <w:r w:rsidRPr="005D7260">
        <w:t>Income Taxes</w:t>
      </w:r>
      <w:bookmarkEnd w:id="44"/>
    </w:p>
    <w:p w:rsidR="005D7260" w:rsidRPr="005D7260" w:rsidRDefault="005D7260" w:rsidP="00376A2B">
      <w:pPr>
        <w:autoSpaceDE w:val="0"/>
        <w:autoSpaceDN w:val="0"/>
        <w:adjustRightInd w:val="0"/>
        <w:spacing w:after="240"/>
      </w:pPr>
      <w:r w:rsidRPr="005D7260">
        <w:t xml:space="preserve">The Federation is exempt from federal </w:t>
      </w:r>
      <w:r w:rsidR="004C7C3D">
        <w:t>i</w:t>
      </w:r>
      <w:r w:rsidRPr="005D7260">
        <w:t>ncome taxes under Internal R</w:t>
      </w:r>
      <w:r w:rsidR="00854DDB">
        <w:t xml:space="preserve">evenue Code Section 501(c)(3). </w:t>
      </w:r>
      <w:r w:rsidRPr="005D7260">
        <w:t xml:space="preserve">There were no income taxes paid on unrelated business activities for </w:t>
      </w:r>
      <w:r w:rsidR="00CA577F">
        <w:t>the year ended December 31, 2015</w:t>
      </w:r>
      <w:r w:rsidRPr="005D7260">
        <w:t>.</w:t>
      </w:r>
    </w:p>
    <w:p w:rsidR="005D7260" w:rsidRPr="005D7260" w:rsidRDefault="005D7260" w:rsidP="00376A2B">
      <w:pPr>
        <w:pStyle w:val="Heading4"/>
      </w:pPr>
      <w:bookmarkStart w:id="45" w:name="_Toc415727694"/>
      <w:r w:rsidRPr="005D7260">
        <w:t>Accou</w:t>
      </w:r>
      <w:r w:rsidR="00854DDB">
        <w:t>nting for Uncertai</w:t>
      </w:r>
      <w:r w:rsidR="00854DDB" w:rsidRPr="005D7260">
        <w:t>nty</w:t>
      </w:r>
      <w:r w:rsidR="00361D0B">
        <w:t xml:space="preserve"> i</w:t>
      </w:r>
      <w:r w:rsidRPr="005D7260">
        <w:t>n Income Taxes</w:t>
      </w:r>
      <w:bookmarkEnd w:id="45"/>
    </w:p>
    <w:p w:rsidR="005D7260" w:rsidRPr="005D7260" w:rsidRDefault="005D7260" w:rsidP="00376A2B">
      <w:pPr>
        <w:autoSpaceDE w:val="0"/>
        <w:autoSpaceDN w:val="0"/>
        <w:adjustRightInd w:val="0"/>
        <w:spacing w:after="240"/>
      </w:pPr>
      <w:r w:rsidRPr="005D7260">
        <w:t xml:space="preserve">The Federation adopted </w:t>
      </w:r>
      <w:r w:rsidR="00361D0B">
        <w:t>the Accounting for Uncertainty i</w:t>
      </w:r>
      <w:r w:rsidRPr="005D7260">
        <w:t>n Income Tax</w:t>
      </w:r>
      <w:r w:rsidR="00361D0B">
        <w:t xml:space="preserve">es topic of the FASB Accounting </w:t>
      </w:r>
      <w:r w:rsidRPr="005D7260">
        <w:t xml:space="preserve">Standards Codification. The standard requires the recognition and measurement of uncertain tax </w:t>
      </w:r>
      <w:r w:rsidR="00361D0B">
        <w:rPr>
          <w:rFonts w:eastAsia="HiddenHorzOCR"/>
        </w:rPr>
        <w:t>posit</w:t>
      </w:r>
      <w:r w:rsidRPr="005D7260">
        <w:rPr>
          <w:rFonts w:eastAsia="HiddenHorzOCR"/>
        </w:rPr>
        <w:t>ions</w:t>
      </w:r>
      <w:r w:rsidR="00361D0B">
        <w:t xml:space="preserve"> </w:t>
      </w:r>
      <w:r w:rsidRPr="005D7260">
        <w:t>taken or expected</w:t>
      </w:r>
      <w:r w:rsidR="00361D0B">
        <w:t xml:space="preserve"> to be taken by the Federation i</w:t>
      </w:r>
      <w:r w:rsidRPr="005D7260">
        <w:t xml:space="preserve">n the preparation of </w:t>
      </w:r>
      <w:r w:rsidR="00361D0B">
        <w:t xml:space="preserve">its tax returns. The Federation determines whether it is more </w:t>
      </w:r>
      <w:r w:rsidRPr="005D7260">
        <w:t>l</w:t>
      </w:r>
      <w:r w:rsidR="00361D0B">
        <w:t>ikely-than-not that a certain t</w:t>
      </w:r>
      <w:r w:rsidRPr="005D7260">
        <w:t>ax position wil</w:t>
      </w:r>
      <w:r w:rsidR="00361D0B">
        <w:t xml:space="preserve">l be sustained upon examination </w:t>
      </w:r>
      <w:r w:rsidRPr="005D7260">
        <w:t>by a tax</w:t>
      </w:r>
      <w:r w:rsidR="00361D0B">
        <w:t>ing authority. If an uncertain tax position is less-likely-than-</w:t>
      </w:r>
      <w:r w:rsidRPr="005D7260">
        <w:t>not to b</w:t>
      </w:r>
      <w:r w:rsidR="00361D0B">
        <w:t xml:space="preserve">e sustained, an estimate of the </w:t>
      </w:r>
      <w:r w:rsidRPr="005D7260">
        <w:t xml:space="preserve">potential effect is recognized in the financial statements </w:t>
      </w:r>
      <w:r w:rsidR="00361D0B">
        <w:t xml:space="preserve">and the uncertain tax position is required to be </w:t>
      </w:r>
      <w:r w:rsidRPr="005D7260">
        <w:t>disclosed. Per the Federation's evalu</w:t>
      </w:r>
      <w:r w:rsidR="00CA577F">
        <w:t>ation as of December 31, 2015</w:t>
      </w:r>
      <w:r w:rsidR="00361D0B">
        <w:t>, i</w:t>
      </w:r>
      <w:r w:rsidRPr="005D7260">
        <w:t>ncluding all prior tax year</w:t>
      </w:r>
      <w:r w:rsidR="00361D0B">
        <w:t>s subject to examination, i</w:t>
      </w:r>
      <w:r w:rsidRPr="005D7260">
        <w:t>t was determined that no material ad</w:t>
      </w:r>
      <w:r w:rsidR="00361D0B">
        <w:t>justments were required in the f</w:t>
      </w:r>
      <w:r w:rsidRPr="005D7260">
        <w:t>inancial statements for</w:t>
      </w:r>
      <w:r w:rsidR="00361D0B">
        <w:t xml:space="preserve"> tax posit</w:t>
      </w:r>
      <w:r w:rsidRPr="005D7260">
        <w:t>ions less-likely-than-not to be sustained upon examination by a taxing authority. The Federation</w:t>
      </w:r>
      <w:r w:rsidR="00361D0B">
        <w:t xml:space="preserve"> believes i</w:t>
      </w:r>
      <w:r w:rsidRPr="005D7260">
        <w:t>t is no longer subject</w:t>
      </w:r>
      <w:r w:rsidR="00361D0B">
        <w:t xml:space="preserve"> to i</w:t>
      </w:r>
      <w:r w:rsidRPr="005D7260">
        <w:t>ncome tax examin</w:t>
      </w:r>
      <w:r w:rsidR="00CA577F">
        <w:t>ations for years prior to 2012</w:t>
      </w:r>
      <w:r w:rsidR="00361D0B">
        <w:t>.</w:t>
      </w:r>
    </w:p>
    <w:p w:rsidR="005D7260" w:rsidRPr="005D7260" w:rsidRDefault="005D7260" w:rsidP="00376A2B">
      <w:pPr>
        <w:pStyle w:val="Heading4"/>
      </w:pPr>
      <w:bookmarkStart w:id="46" w:name="_Toc415727695"/>
      <w:r w:rsidRPr="005D7260">
        <w:t>Donated Services and Media</w:t>
      </w:r>
      <w:bookmarkEnd w:id="46"/>
    </w:p>
    <w:p w:rsidR="005D7260" w:rsidRPr="005D7260" w:rsidRDefault="00361D0B" w:rsidP="00376A2B">
      <w:pPr>
        <w:autoSpaceDE w:val="0"/>
        <w:autoSpaceDN w:val="0"/>
        <w:adjustRightInd w:val="0"/>
        <w:spacing w:after="240"/>
      </w:pPr>
      <w:r>
        <w:t>The Federation has adopted t</w:t>
      </w:r>
      <w:r w:rsidR="005D7260" w:rsidRPr="005D7260">
        <w:t xml:space="preserve">he Revenue Recognition for </w:t>
      </w:r>
      <w:r w:rsidR="007D3A69">
        <w:t>Not-for-Profit Entities topic of the FASB Accounting Standards Codi</w:t>
      </w:r>
      <w:r w:rsidR="005D7260" w:rsidRPr="005D7260">
        <w:t>fication in the recognition of donated services. Dona</w:t>
      </w:r>
      <w:r w:rsidR="007D3A69">
        <w:t xml:space="preserve">ted services are </w:t>
      </w:r>
      <w:r w:rsidR="005D7260" w:rsidRPr="005D7260">
        <w:t xml:space="preserve">recognized at fair value if the services received (a) create or enhance </w:t>
      </w:r>
      <w:r w:rsidR="007D3A69">
        <w:rPr>
          <w:rFonts w:eastAsia="HiddenHorzOCR"/>
        </w:rPr>
        <w:t>long-l</w:t>
      </w:r>
      <w:r w:rsidR="005D7260" w:rsidRPr="005D7260">
        <w:rPr>
          <w:rFonts w:eastAsia="HiddenHorzOCR"/>
        </w:rPr>
        <w:t xml:space="preserve">ived </w:t>
      </w:r>
      <w:r w:rsidR="007D3A69">
        <w:t xml:space="preserve">assets or (b) require </w:t>
      </w:r>
      <w:r w:rsidR="005D7260" w:rsidRPr="005D7260">
        <w:t xml:space="preserve">specialized skills, are provided by </w:t>
      </w:r>
      <w:r w:rsidR="004C7C3D">
        <w:t>i</w:t>
      </w:r>
      <w:r w:rsidR="005D7260" w:rsidRPr="005D7260">
        <w:t>ndi</w:t>
      </w:r>
      <w:r w:rsidR="007D3A69">
        <w:t>viduals possessing those skills, and would typically need to be purchased if</w:t>
      </w:r>
      <w:r w:rsidR="005D7260" w:rsidRPr="005D7260">
        <w:t xml:space="preserve"> not provided by don</w:t>
      </w:r>
      <w:r w:rsidR="007D3A69">
        <w:t>ation. Donated servic</w:t>
      </w:r>
      <w:r w:rsidR="005D7260" w:rsidRPr="005D7260">
        <w:t xml:space="preserve">es and media are </w:t>
      </w:r>
      <w:r w:rsidR="007D3A69">
        <w:t>recorded as both public support a</w:t>
      </w:r>
      <w:r w:rsidR="005D7260" w:rsidRPr="005D7260">
        <w:t>nd prog</w:t>
      </w:r>
      <w:r w:rsidR="007D3A69">
        <w:t>ram services; therefore, there i</w:t>
      </w:r>
      <w:r w:rsidR="005D7260" w:rsidRPr="005D7260">
        <w:t>s no effect on the change in net assets.</w:t>
      </w:r>
    </w:p>
    <w:p w:rsidR="005D7260" w:rsidRPr="005D7260" w:rsidRDefault="005D7260" w:rsidP="00376A2B">
      <w:pPr>
        <w:autoSpaceDE w:val="0"/>
        <w:autoSpaceDN w:val="0"/>
        <w:adjustRightInd w:val="0"/>
      </w:pPr>
      <w:r w:rsidRPr="005D7260">
        <w:t xml:space="preserve">Donated services consist of volunteer </w:t>
      </w:r>
      <w:r w:rsidR="007D3A69">
        <w:t>services</w:t>
      </w:r>
      <w:r w:rsidR="004C7C3D">
        <w:t>,</w:t>
      </w:r>
      <w:r w:rsidRPr="005D7260">
        <w:t xml:space="preserve"> pr</w:t>
      </w:r>
      <w:r w:rsidR="007D3A69">
        <w:t>imarily f</w:t>
      </w:r>
      <w:r w:rsidRPr="005D7260">
        <w:t xml:space="preserve">or the orientation and adjustment </w:t>
      </w:r>
      <w:r w:rsidR="007D3A69">
        <w:t>to blindness and blindness advocacy. Volu</w:t>
      </w:r>
      <w:r w:rsidRPr="005D7260">
        <w:t>nteer services are recorded on the basis of ti</w:t>
      </w:r>
      <w:r w:rsidR="007D3A69">
        <w:t xml:space="preserve">me spent at rates paid by other </w:t>
      </w:r>
      <w:r w:rsidRPr="005D7260">
        <w:t>organizations for comparable services. The volunteer services revenue for the year ended December 31,</w:t>
      </w:r>
    </w:p>
    <w:p w:rsidR="005D7260" w:rsidRPr="005D7260" w:rsidRDefault="003A3494" w:rsidP="00376A2B">
      <w:pPr>
        <w:autoSpaceDE w:val="0"/>
        <w:autoSpaceDN w:val="0"/>
        <w:adjustRightInd w:val="0"/>
        <w:spacing w:after="240"/>
      </w:pPr>
      <w:r>
        <w:t>2015</w:t>
      </w:r>
      <w:r w:rsidR="007D3A69">
        <w:t xml:space="preserve"> amounted to approximately $</w:t>
      </w:r>
      <w:r>
        <w:t>2,904</w:t>
      </w:r>
      <w:r w:rsidR="005D7260" w:rsidRPr="005D7260">
        <w:t xml:space="preserve">,000 and is </w:t>
      </w:r>
      <w:r w:rsidR="007D3A69">
        <w:t>included i</w:t>
      </w:r>
      <w:r w:rsidR="005D7260" w:rsidRPr="005D7260">
        <w:t>n</w:t>
      </w:r>
      <w:r>
        <w:t xml:space="preserve"> donated services in the statements of activities, and the expenditure is included in</w:t>
      </w:r>
      <w:r w:rsidR="005D7260" w:rsidRPr="005D7260">
        <w:t xml:space="preserve"> voluntee</w:t>
      </w:r>
      <w:r w:rsidR="007D3A69">
        <w:t xml:space="preserve">r services in the statements of </w:t>
      </w:r>
      <w:r>
        <w:t>functional expense</w:t>
      </w:r>
      <w:r w:rsidR="005D7260" w:rsidRPr="005D7260">
        <w:t>.</w:t>
      </w:r>
    </w:p>
    <w:p w:rsidR="005D7260" w:rsidRPr="005D7260" w:rsidRDefault="005D7260" w:rsidP="00376A2B">
      <w:pPr>
        <w:autoSpaceDE w:val="0"/>
        <w:autoSpaceDN w:val="0"/>
        <w:adjustRightInd w:val="0"/>
        <w:spacing w:after="240"/>
      </w:pPr>
      <w:r w:rsidRPr="005D7260">
        <w:t xml:space="preserve">The Federation has adopted </w:t>
      </w:r>
      <w:r w:rsidR="007D3A69">
        <w:t>the Revenue Recognition for Not-for-Profit Entities topic of the FASB Accounting Standards Codifi</w:t>
      </w:r>
      <w:r w:rsidRPr="005D7260">
        <w:t>cation in the recognition of donat</w:t>
      </w:r>
      <w:r w:rsidR="007D3A69">
        <w:t xml:space="preserve">ed media. Management employs an </w:t>
      </w:r>
      <w:r w:rsidRPr="005D7260">
        <w:t>ind</w:t>
      </w:r>
      <w:r w:rsidR="007D3A69">
        <w:t xml:space="preserve">ependent third party to assist in the valuation of </w:t>
      </w:r>
      <w:r w:rsidRPr="005D7260">
        <w:t>the Federation's exposur</w:t>
      </w:r>
      <w:r w:rsidR="007D3A69">
        <w:t>e to the public through various means including internet, radio</w:t>
      </w:r>
      <w:r w:rsidRPr="005D7260">
        <w:t>, television time and printed materials in pub</w:t>
      </w:r>
      <w:r w:rsidR="007D3A69">
        <w:t xml:space="preserve">lications using the advertising </w:t>
      </w:r>
      <w:r w:rsidRPr="005D7260">
        <w:t>value equivalency metric. The donated media revenue for the year e</w:t>
      </w:r>
      <w:r w:rsidR="001F1897">
        <w:t>nded December 31, 2015</w:t>
      </w:r>
      <w:r w:rsidR="007D3A69">
        <w:t xml:space="preserve"> amounted to </w:t>
      </w:r>
      <w:r w:rsidR="001F1897">
        <w:t>approximately $1,423</w:t>
      </w:r>
      <w:r w:rsidR="00716DD2">
        <w:t>,</w:t>
      </w:r>
      <w:r w:rsidR="007D3A69">
        <w:t>000 and is included i</w:t>
      </w:r>
      <w:r w:rsidRPr="005D7260">
        <w:t>n donated</w:t>
      </w:r>
      <w:r w:rsidR="001F1897">
        <w:t xml:space="preserve"> services in the statements of activities, and the expenditure is included in donated media in the statements of functional expense. </w:t>
      </w:r>
    </w:p>
    <w:p w:rsidR="005D7260" w:rsidRPr="005D7260" w:rsidRDefault="005D7260" w:rsidP="00376A2B">
      <w:pPr>
        <w:autoSpaceDE w:val="0"/>
        <w:autoSpaceDN w:val="0"/>
        <w:adjustRightInd w:val="0"/>
        <w:spacing w:after="240"/>
      </w:pPr>
      <w:r w:rsidRPr="005D7260">
        <w:t>The Federation operates from the National Center for the Blind which allo</w:t>
      </w:r>
      <w:r w:rsidR="007D3A69">
        <w:t xml:space="preserve">ws free usage of facilities for </w:t>
      </w:r>
      <w:r w:rsidRPr="005D7260">
        <w:t>organizations that serve the blind.</w:t>
      </w:r>
    </w:p>
    <w:p w:rsidR="005D7260" w:rsidRPr="005D7260" w:rsidRDefault="007D3A69" w:rsidP="00376A2B">
      <w:pPr>
        <w:pStyle w:val="Heading4"/>
      </w:pPr>
      <w:bookmarkStart w:id="47" w:name="_Toc415727696"/>
      <w:r>
        <w:t>Functional Allocation of Expe</w:t>
      </w:r>
      <w:r w:rsidR="005D7260" w:rsidRPr="005D7260">
        <w:t>nses</w:t>
      </w:r>
      <w:bookmarkEnd w:id="47"/>
    </w:p>
    <w:p w:rsidR="005D7260" w:rsidRPr="005D7260" w:rsidRDefault="007D3A69" w:rsidP="00376A2B">
      <w:pPr>
        <w:autoSpaceDE w:val="0"/>
        <w:autoSpaceDN w:val="0"/>
        <w:adjustRightInd w:val="0"/>
        <w:spacing w:after="240"/>
      </w:pPr>
      <w:r>
        <w:t>The Federation reports i</w:t>
      </w:r>
      <w:r w:rsidR="005D7260" w:rsidRPr="005D7260">
        <w:t xml:space="preserve">ts </w:t>
      </w:r>
      <w:r>
        <w:t>expenses on a functional basis i</w:t>
      </w:r>
      <w:r w:rsidR="005D7260" w:rsidRPr="005D7260">
        <w:t>n the statement</w:t>
      </w:r>
      <w:r>
        <w:t xml:space="preserve"> of activities. These functions </w:t>
      </w:r>
      <w:r w:rsidR="005D7260" w:rsidRPr="005D7260">
        <w:t xml:space="preserve">consist of program and supporting service costs. Costs have been allocated among the program </w:t>
      </w:r>
      <w:r>
        <w:t xml:space="preserve">and </w:t>
      </w:r>
      <w:r w:rsidR="005D7260" w:rsidRPr="005D7260">
        <w:t>supporting service activities based on management estimates using m</w:t>
      </w:r>
      <w:r>
        <w:t>ethods such as weighted-average distributions and specific i</w:t>
      </w:r>
      <w:r w:rsidR="005D7260" w:rsidRPr="005D7260">
        <w:t>dentification.</w:t>
      </w:r>
    </w:p>
    <w:p w:rsidR="005D7260" w:rsidRPr="005D7260" w:rsidRDefault="005D7260" w:rsidP="00376A2B">
      <w:pPr>
        <w:pStyle w:val="Heading4"/>
      </w:pPr>
      <w:bookmarkStart w:id="48" w:name="_Toc415727697"/>
      <w:r w:rsidRPr="005D7260">
        <w:t>Subsequent Events</w:t>
      </w:r>
      <w:bookmarkEnd w:id="48"/>
    </w:p>
    <w:p w:rsidR="009F7F9D" w:rsidRDefault="005D7260" w:rsidP="00376A2B">
      <w:pPr>
        <w:autoSpaceDE w:val="0"/>
        <w:autoSpaceDN w:val="0"/>
        <w:adjustRightInd w:val="0"/>
      </w:pPr>
      <w:r w:rsidRPr="005D7260">
        <w:t>Eve</w:t>
      </w:r>
      <w:r w:rsidR="007D3A69">
        <w:t xml:space="preserve">nts that occurred subsequent to </w:t>
      </w:r>
      <w:r w:rsidR="003217E4">
        <w:t>December 31, 2015</w:t>
      </w:r>
      <w:r w:rsidRPr="005D7260">
        <w:t xml:space="preserve"> have been evaluated by the Federation's</w:t>
      </w:r>
      <w:r w:rsidR="007D3A69">
        <w:t xml:space="preserve"> </w:t>
      </w:r>
      <w:r w:rsidRPr="005D7260">
        <w:t>management for poten</w:t>
      </w:r>
      <w:r w:rsidR="007D3A69">
        <w:t>tial recognition or disclosure i</w:t>
      </w:r>
      <w:r w:rsidRPr="005D7260">
        <w:t>n the financial sta</w:t>
      </w:r>
      <w:r w:rsidR="007D3A69">
        <w:t>tements through the date of the independent auditor's report, which i</w:t>
      </w:r>
      <w:r w:rsidRPr="005D7260">
        <w:t>s the date the financial statements w</w:t>
      </w:r>
      <w:r w:rsidR="007D3A69">
        <w:t xml:space="preserve">ere available to be issued. </w:t>
      </w:r>
      <w:r w:rsidR="003217E4">
        <w:t>The Federation did not have any material recognizable subsequent events during this period.</w:t>
      </w:r>
    </w:p>
    <w:p w:rsidR="009F7F9D" w:rsidRPr="004C1A2B" w:rsidRDefault="009F7F9D" w:rsidP="00376A2B">
      <w:pPr>
        <w:pStyle w:val="Heading3"/>
      </w:pPr>
      <w:bookmarkStart w:id="49" w:name="_Toc415727698"/>
      <w:r>
        <w:t>NOTE 2</w:t>
      </w:r>
      <w:r w:rsidRPr="004C1A2B">
        <w:t xml:space="preserve"> - </w:t>
      </w:r>
      <w:r>
        <w:t>NOTES RECEIVABLE</w:t>
      </w:r>
      <w:bookmarkEnd w:id="49"/>
    </w:p>
    <w:p w:rsidR="009F7F9D" w:rsidRDefault="009F7F9D" w:rsidP="00376A2B">
      <w:pPr>
        <w:autoSpaceDE w:val="0"/>
        <w:autoSpaceDN w:val="0"/>
        <w:adjustRightInd w:val="0"/>
        <w:spacing w:after="240"/>
      </w:pPr>
      <w:r>
        <w:t>Notes</w:t>
      </w:r>
      <w:r w:rsidR="00090FF9">
        <w:t xml:space="preserve"> receivable at December 31, 2015</w:t>
      </w:r>
      <w:r>
        <w:t xml:space="preserve"> consist of the following:</w:t>
      </w:r>
    </w:p>
    <w:tbl>
      <w:tblPr>
        <w:tblStyle w:val="TableGrid"/>
        <w:tblW w:w="0" w:type="auto"/>
        <w:tblLook w:val="04A0" w:firstRow="1" w:lastRow="0" w:firstColumn="1" w:lastColumn="0" w:noHBand="0" w:noVBand="1"/>
      </w:tblPr>
      <w:tblGrid>
        <w:gridCol w:w="7218"/>
        <w:gridCol w:w="2358"/>
      </w:tblGrid>
      <w:tr w:rsidR="009F7F9D" w:rsidTr="005F16AA">
        <w:trPr>
          <w:cantSplit/>
        </w:trPr>
        <w:tc>
          <w:tcPr>
            <w:tcW w:w="7218" w:type="dxa"/>
          </w:tcPr>
          <w:p w:rsidR="009F7F9D" w:rsidRDefault="009F7F9D" w:rsidP="00376A2B">
            <w:pPr>
              <w:pStyle w:val="Heading4"/>
              <w:outlineLvl w:val="3"/>
            </w:pPr>
            <w:bookmarkStart w:id="50" w:name="_Toc415727699"/>
            <w:r>
              <w:t>Business Loans</w:t>
            </w:r>
            <w:bookmarkEnd w:id="50"/>
            <w:r>
              <w:t xml:space="preserve"> </w:t>
            </w:r>
          </w:p>
          <w:p w:rsidR="009F7F9D" w:rsidRDefault="009F7F9D" w:rsidP="00376A2B">
            <w:r>
              <w:t>Low interest loan program for business or job related purposes. The notes bear interest ranging from three percent (3%) to six percent (6%) per year and are secured by various business equipment and real property. The loans mature at various dates through July 2020.</w:t>
            </w:r>
          </w:p>
        </w:tc>
        <w:tc>
          <w:tcPr>
            <w:tcW w:w="2358" w:type="dxa"/>
            <w:vAlign w:val="bottom"/>
          </w:tcPr>
          <w:p w:rsidR="009F7F9D" w:rsidRDefault="00090FF9" w:rsidP="00376A2B">
            <w:pPr>
              <w:jc w:val="right"/>
            </w:pPr>
            <w:r>
              <w:t>$30,604</w:t>
            </w:r>
          </w:p>
        </w:tc>
      </w:tr>
      <w:tr w:rsidR="009F7F9D" w:rsidTr="005F16AA">
        <w:trPr>
          <w:cantSplit/>
        </w:trPr>
        <w:tc>
          <w:tcPr>
            <w:tcW w:w="7218" w:type="dxa"/>
          </w:tcPr>
          <w:p w:rsidR="009F7F9D" w:rsidRDefault="00090FF9" w:rsidP="00376A2B">
            <w:pPr>
              <w:pStyle w:val="Heading4"/>
              <w:outlineLvl w:val="3"/>
            </w:pPr>
            <w:r>
              <w:t xml:space="preserve">TriPlay, Inc. </w:t>
            </w:r>
          </w:p>
          <w:p w:rsidR="009F7F9D" w:rsidRDefault="000D38D0" w:rsidP="00376A2B">
            <w:r>
              <w:t xml:space="preserve">Unsecured note receivable due from TriPlay Inc., an unrelated third party. The note bears interest at .43% and matures on September 10, 2016. </w:t>
            </w:r>
          </w:p>
        </w:tc>
        <w:tc>
          <w:tcPr>
            <w:tcW w:w="2358" w:type="dxa"/>
            <w:vAlign w:val="bottom"/>
          </w:tcPr>
          <w:p w:rsidR="009F7F9D" w:rsidRDefault="000D38D0" w:rsidP="00376A2B">
            <w:pPr>
              <w:jc w:val="right"/>
            </w:pPr>
            <w:r>
              <w:t>71,785</w:t>
            </w:r>
          </w:p>
        </w:tc>
      </w:tr>
      <w:tr w:rsidR="009F7F9D" w:rsidTr="005F16AA">
        <w:trPr>
          <w:cantSplit/>
          <w:trHeight w:val="512"/>
        </w:trPr>
        <w:tc>
          <w:tcPr>
            <w:tcW w:w="7218" w:type="dxa"/>
            <w:vAlign w:val="center"/>
          </w:tcPr>
          <w:p w:rsidR="009F7F9D" w:rsidRDefault="009F7F9D" w:rsidP="00376A2B">
            <w:pPr>
              <w:ind w:left="360"/>
            </w:pPr>
            <w:r>
              <w:t>Total Notes Receivable</w:t>
            </w:r>
          </w:p>
        </w:tc>
        <w:tc>
          <w:tcPr>
            <w:tcW w:w="2358" w:type="dxa"/>
            <w:vAlign w:val="center"/>
          </w:tcPr>
          <w:p w:rsidR="009F7F9D" w:rsidRPr="009F7F9D" w:rsidRDefault="000D38D0" w:rsidP="00376A2B">
            <w:pPr>
              <w:jc w:val="right"/>
              <w:rPr>
                <w:u w:val="double"/>
              </w:rPr>
            </w:pPr>
            <w:r>
              <w:rPr>
                <w:u w:val="double"/>
              </w:rPr>
              <w:t>$102,389</w:t>
            </w:r>
          </w:p>
        </w:tc>
      </w:tr>
    </w:tbl>
    <w:p w:rsidR="009F7F9D" w:rsidRDefault="009F7F9D" w:rsidP="00376A2B"/>
    <w:p w:rsidR="009F7F9D" w:rsidRDefault="009F7F9D" w:rsidP="00376A2B">
      <w:pPr>
        <w:pStyle w:val="Heading3"/>
      </w:pPr>
      <w:bookmarkStart w:id="51" w:name="_Toc415727702"/>
      <w:r>
        <w:t>NOTE 3 - OTHER RECEIVABLES</w:t>
      </w:r>
      <w:bookmarkEnd w:id="51"/>
    </w:p>
    <w:p w:rsidR="009F7F9D" w:rsidRDefault="00E20C87" w:rsidP="00376A2B">
      <w:pPr>
        <w:spacing w:after="240"/>
      </w:pPr>
      <w:r>
        <w:t>Other receivables at December 31, 2015 consist of the following:</w:t>
      </w:r>
    </w:p>
    <w:tbl>
      <w:tblPr>
        <w:tblStyle w:val="TableGrid"/>
        <w:tblW w:w="0" w:type="auto"/>
        <w:tblLook w:val="04A0" w:firstRow="1" w:lastRow="0" w:firstColumn="1" w:lastColumn="0" w:noHBand="0" w:noVBand="1"/>
      </w:tblPr>
      <w:tblGrid>
        <w:gridCol w:w="7218"/>
        <w:gridCol w:w="2358"/>
      </w:tblGrid>
      <w:tr w:rsidR="00E20C87" w:rsidTr="00E20C87">
        <w:tc>
          <w:tcPr>
            <w:tcW w:w="7218" w:type="dxa"/>
          </w:tcPr>
          <w:p w:rsidR="00E20C87" w:rsidRDefault="00E20C87" w:rsidP="00376A2B">
            <w:pPr>
              <w:spacing w:after="240"/>
            </w:pPr>
            <w:r>
              <w:t>Contracts receivable</w:t>
            </w:r>
          </w:p>
        </w:tc>
        <w:tc>
          <w:tcPr>
            <w:tcW w:w="2358" w:type="dxa"/>
          </w:tcPr>
          <w:p w:rsidR="00E20C87" w:rsidRDefault="00E20C87" w:rsidP="00E20C87">
            <w:pPr>
              <w:spacing w:after="240"/>
              <w:jc w:val="right"/>
            </w:pPr>
            <w:r>
              <w:t>$266,804</w:t>
            </w:r>
          </w:p>
        </w:tc>
      </w:tr>
      <w:tr w:rsidR="00E20C87" w:rsidTr="00E20C87">
        <w:tc>
          <w:tcPr>
            <w:tcW w:w="7218" w:type="dxa"/>
          </w:tcPr>
          <w:p w:rsidR="00E20C87" w:rsidRDefault="00E20C87" w:rsidP="00376A2B">
            <w:pPr>
              <w:spacing w:after="240"/>
            </w:pPr>
            <w:r>
              <w:t>Grants receivable</w:t>
            </w:r>
          </w:p>
        </w:tc>
        <w:tc>
          <w:tcPr>
            <w:tcW w:w="2358" w:type="dxa"/>
          </w:tcPr>
          <w:p w:rsidR="00E20C87" w:rsidRDefault="00E20C87" w:rsidP="00E20C87">
            <w:pPr>
              <w:spacing w:after="240"/>
              <w:jc w:val="right"/>
            </w:pPr>
            <w:r>
              <w:t>56,736</w:t>
            </w:r>
          </w:p>
        </w:tc>
      </w:tr>
      <w:tr w:rsidR="00E20C87" w:rsidTr="00E20C87">
        <w:tc>
          <w:tcPr>
            <w:tcW w:w="7218" w:type="dxa"/>
          </w:tcPr>
          <w:p w:rsidR="00E20C87" w:rsidRDefault="00E20C87" w:rsidP="00376A2B">
            <w:pPr>
              <w:spacing w:after="240"/>
            </w:pPr>
            <w:r>
              <w:t>Receivable related to KNFB Reader sales</w:t>
            </w:r>
          </w:p>
        </w:tc>
        <w:tc>
          <w:tcPr>
            <w:tcW w:w="2358" w:type="dxa"/>
          </w:tcPr>
          <w:p w:rsidR="00E20C87" w:rsidRDefault="00E20C87" w:rsidP="00E20C87">
            <w:pPr>
              <w:spacing w:after="240"/>
              <w:jc w:val="right"/>
            </w:pPr>
            <w:r>
              <w:t>35,590</w:t>
            </w:r>
          </w:p>
        </w:tc>
      </w:tr>
      <w:tr w:rsidR="00E20C87" w:rsidTr="00E20C87">
        <w:tc>
          <w:tcPr>
            <w:tcW w:w="7218" w:type="dxa"/>
          </w:tcPr>
          <w:p w:rsidR="00E20C87" w:rsidRDefault="00E20C87" w:rsidP="00376A2B">
            <w:pPr>
              <w:spacing w:after="240"/>
            </w:pPr>
            <w:r>
              <w:t>Total Other Receivables</w:t>
            </w:r>
          </w:p>
        </w:tc>
        <w:tc>
          <w:tcPr>
            <w:tcW w:w="2358" w:type="dxa"/>
          </w:tcPr>
          <w:p w:rsidR="00E20C87" w:rsidRDefault="00E20C87" w:rsidP="00E20C87">
            <w:pPr>
              <w:spacing w:after="240"/>
              <w:jc w:val="right"/>
            </w:pPr>
            <w:r>
              <w:t>$359,130</w:t>
            </w:r>
          </w:p>
        </w:tc>
      </w:tr>
    </w:tbl>
    <w:p w:rsidR="00E20C87" w:rsidRDefault="00E20C87" w:rsidP="00376A2B">
      <w:pPr>
        <w:spacing w:after="240"/>
      </w:pPr>
    </w:p>
    <w:p w:rsidR="00322748" w:rsidRDefault="005C3C5A" w:rsidP="00376A2B">
      <w:pPr>
        <w:pStyle w:val="Heading3"/>
      </w:pPr>
      <w:bookmarkStart w:id="52" w:name="_Toc415727703"/>
      <w:r>
        <w:t>NOTE 4 – INT</w:t>
      </w:r>
      <w:r w:rsidR="00322748">
        <w:t>ANGIBLE ASSETS</w:t>
      </w:r>
    </w:p>
    <w:p w:rsidR="006403D4" w:rsidRDefault="006403D4" w:rsidP="006403D4">
      <w:r>
        <w:t xml:space="preserve">During 2015, the Federation’s senior secured notes receivable from Media Arc, Inc. (Media Arc) were exchanged for the assignment of the rights of the KNFB hand held reading technology, as part of the dissolution and eventual sale of Media Arc. As a result of this transaction, the Federation acquired several intangible assets. The Federation’s intangible assets at December 31, 2015 consist of the following: </w:t>
      </w:r>
    </w:p>
    <w:tbl>
      <w:tblPr>
        <w:tblStyle w:val="TableGrid"/>
        <w:tblW w:w="0" w:type="auto"/>
        <w:tblLook w:val="04A0" w:firstRow="1" w:lastRow="0" w:firstColumn="1" w:lastColumn="0" w:noHBand="0" w:noVBand="1"/>
      </w:tblPr>
      <w:tblGrid>
        <w:gridCol w:w="4788"/>
        <w:gridCol w:w="4788"/>
      </w:tblGrid>
      <w:tr w:rsidR="00C74089" w:rsidTr="00C74089">
        <w:tc>
          <w:tcPr>
            <w:tcW w:w="4788" w:type="dxa"/>
          </w:tcPr>
          <w:p w:rsidR="00C74089" w:rsidRDefault="003E01CC" w:rsidP="006403D4">
            <w:r>
              <w:t>KNFB Reader App</w:t>
            </w:r>
          </w:p>
        </w:tc>
        <w:tc>
          <w:tcPr>
            <w:tcW w:w="4788" w:type="dxa"/>
          </w:tcPr>
          <w:p w:rsidR="00C74089" w:rsidRDefault="003E01CC" w:rsidP="003E01CC">
            <w:pPr>
              <w:jc w:val="right"/>
            </w:pPr>
            <w:r>
              <w:t>$2,072,262</w:t>
            </w:r>
          </w:p>
        </w:tc>
      </w:tr>
      <w:tr w:rsidR="00C74089" w:rsidTr="00C74089">
        <w:tc>
          <w:tcPr>
            <w:tcW w:w="4788" w:type="dxa"/>
          </w:tcPr>
          <w:p w:rsidR="00C74089" w:rsidRDefault="008B5A08" w:rsidP="006403D4">
            <w:r>
              <w:t>Patents</w:t>
            </w:r>
          </w:p>
        </w:tc>
        <w:tc>
          <w:tcPr>
            <w:tcW w:w="4788" w:type="dxa"/>
          </w:tcPr>
          <w:p w:rsidR="00C74089" w:rsidRDefault="008B5A08" w:rsidP="003E01CC">
            <w:pPr>
              <w:jc w:val="right"/>
            </w:pPr>
            <w:r>
              <w:t>195,351</w:t>
            </w:r>
          </w:p>
        </w:tc>
      </w:tr>
      <w:tr w:rsidR="00C74089" w:rsidTr="00C74089">
        <w:tc>
          <w:tcPr>
            <w:tcW w:w="4788" w:type="dxa"/>
          </w:tcPr>
          <w:p w:rsidR="00C74089" w:rsidRDefault="008B5A08" w:rsidP="006403D4">
            <w:r>
              <w:t>Other intangibles</w:t>
            </w:r>
          </w:p>
        </w:tc>
        <w:tc>
          <w:tcPr>
            <w:tcW w:w="4788" w:type="dxa"/>
          </w:tcPr>
          <w:p w:rsidR="00C74089" w:rsidRPr="008B5A08" w:rsidRDefault="008B5A08" w:rsidP="003E01CC">
            <w:pPr>
              <w:jc w:val="right"/>
              <w:rPr>
                <w:u w:val="single"/>
              </w:rPr>
            </w:pPr>
            <w:r w:rsidRPr="008B5A08">
              <w:rPr>
                <w:u w:val="single"/>
              </w:rPr>
              <w:t>97,668</w:t>
            </w:r>
          </w:p>
        </w:tc>
      </w:tr>
      <w:tr w:rsidR="00C74089" w:rsidTr="00C74089">
        <w:tc>
          <w:tcPr>
            <w:tcW w:w="4788" w:type="dxa"/>
          </w:tcPr>
          <w:p w:rsidR="00C74089" w:rsidRDefault="00C74089" w:rsidP="006403D4"/>
        </w:tc>
        <w:tc>
          <w:tcPr>
            <w:tcW w:w="4788" w:type="dxa"/>
          </w:tcPr>
          <w:p w:rsidR="00C74089" w:rsidRDefault="008B5A08" w:rsidP="003E01CC">
            <w:pPr>
              <w:jc w:val="right"/>
            </w:pPr>
            <w:r>
              <w:t>2,365,281</w:t>
            </w:r>
          </w:p>
        </w:tc>
      </w:tr>
      <w:tr w:rsidR="00C74089" w:rsidTr="00C74089">
        <w:tc>
          <w:tcPr>
            <w:tcW w:w="4788" w:type="dxa"/>
          </w:tcPr>
          <w:p w:rsidR="00C74089" w:rsidRDefault="008B5A08" w:rsidP="006403D4">
            <w:r>
              <w:t>Less: Accumulated amortization</w:t>
            </w:r>
          </w:p>
        </w:tc>
        <w:tc>
          <w:tcPr>
            <w:tcW w:w="4788" w:type="dxa"/>
          </w:tcPr>
          <w:p w:rsidR="00C74089" w:rsidRPr="008B5A08" w:rsidRDefault="008B5A08" w:rsidP="003E01CC">
            <w:pPr>
              <w:jc w:val="right"/>
              <w:rPr>
                <w:u w:val="single"/>
              </w:rPr>
            </w:pPr>
            <w:r w:rsidRPr="008B5A08">
              <w:rPr>
                <w:u w:val="single"/>
              </w:rPr>
              <w:t>(118,783)</w:t>
            </w:r>
          </w:p>
        </w:tc>
      </w:tr>
      <w:tr w:rsidR="00C74089" w:rsidTr="00C74089">
        <w:tc>
          <w:tcPr>
            <w:tcW w:w="4788" w:type="dxa"/>
          </w:tcPr>
          <w:p w:rsidR="00C74089" w:rsidRDefault="008B5A08" w:rsidP="006403D4">
            <w:r>
              <w:t>Intangible assets – net</w:t>
            </w:r>
          </w:p>
        </w:tc>
        <w:tc>
          <w:tcPr>
            <w:tcW w:w="4788" w:type="dxa"/>
          </w:tcPr>
          <w:p w:rsidR="00C74089" w:rsidRPr="008B5A08" w:rsidRDefault="008B5A08" w:rsidP="003E01CC">
            <w:pPr>
              <w:jc w:val="right"/>
              <w:rPr>
                <w:u w:val="double"/>
              </w:rPr>
            </w:pPr>
            <w:r w:rsidRPr="008B5A08">
              <w:rPr>
                <w:u w:val="double"/>
              </w:rPr>
              <w:t>$2,246,498</w:t>
            </w:r>
          </w:p>
        </w:tc>
      </w:tr>
    </w:tbl>
    <w:p w:rsidR="00C74089" w:rsidRDefault="00C74089" w:rsidP="006403D4"/>
    <w:p w:rsidR="003A6056" w:rsidRPr="006403D4" w:rsidRDefault="003A6056" w:rsidP="006403D4">
      <w:r>
        <w:t xml:space="preserve">Amortization expense on intangible assets for the year ended December 31, 2015 amounted to $118,783. Estimated annual amortization expense for each of the ensuing years through December 31, 2020 amounts to $142,540. </w:t>
      </w:r>
    </w:p>
    <w:p w:rsidR="009F7F9D" w:rsidRDefault="00322748" w:rsidP="00376A2B">
      <w:pPr>
        <w:pStyle w:val="Heading3"/>
      </w:pPr>
      <w:r>
        <w:t>NOTE 5</w:t>
      </w:r>
      <w:r w:rsidR="009F7F9D">
        <w:t xml:space="preserve"> - PROPERTY AND EQUIPMENT</w:t>
      </w:r>
      <w:bookmarkEnd w:id="52"/>
    </w:p>
    <w:p w:rsidR="009F7F9D" w:rsidRDefault="009F7F9D" w:rsidP="00376A2B">
      <w:r>
        <w:t>Property and e</w:t>
      </w:r>
      <w:r w:rsidR="003E1EBE">
        <w:t>quipment as of December 31, 2015</w:t>
      </w:r>
      <w:r>
        <w:t xml:space="preserve"> consists of the following:</w:t>
      </w:r>
    </w:p>
    <w:p w:rsidR="009F7F9D" w:rsidRPr="009F7F9D" w:rsidRDefault="0020642B" w:rsidP="00376A2B">
      <w:r>
        <w:t xml:space="preserve"> </w:t>
      </w:r>
    </w:p>
    <w:tbl>
      <w:tblPr>
        <w:tblStyle w:val="TableGrid"/>
        <w:tblW w:w="0" w:type="auto"/>
        <w:tblLook w:val="04A0" w:firstRow="1" w:lastRow="0" w:firstColumn="1" w:lastColumn="0" w:noHBand="0" w:noVBand="1"/>
      </w:tblPr>
      <w:tblGrid>
        <w:gridCol w:w="7848"/>
        <w:gridCol w:w="1728"/>
      </w:tblGrid>
      <w:tr w:rsidR="00757ED7" w:rsidTr="00010700">
        <w:tc>
          <w:tcPr>
            <w:tcW w:w="7848" w:type="dxa"/>
            <w:vAlign w:val="center"/>
          </w:tcPr>
          <w:p w:rsidR="00757ED7" w:rsidRDefault="00757ED7" w:rsidP="00376A2B">
            <w:r>
              <w:t>Office furniture and equipment</w:t>
            </w:r>
          </w:p>
        </w:tc>
        <w:tc>
          <w:tcPr>
            <w:tcW w:w="1728" w:type="dxa"/>
            <w:vAlign w:val="center"/>
          </w:tcPr>
          <w:p w:rsidR="00757ED7" w:rsidRDefault="003E1EBE" w:rsidP="00376A2B">
            <w:pPr>
              <w:jc w:val="right"/>
            </w:pPr>
            <w:r>
              <w:t>$1,588,718</w:t>
            </w:r>
          </w:p>
        </w:tc>
      </w:tr>
      <w:tr w:rsidR="00757ED7" w:rsidRPr="00010700" w:rsidTr="00010700">
        <w:tc>
          <w:tcPr>
            <w:tcW w:w="7848" w:type="dxa"/>
            <w:vAlign w:val="center"/>
          </w:tcPr>
          <w:p w:rsidR="00757ED7" w:rsidRDefault="00757ED7" w:rsidP="00376A2B">
            <w:r>
              <w:t>Computer equipment</w:t>
            </w:r>
          </w:p>
        </w:tc>
        <w:tc>
          <w:tcPr>
            <w:tcW w:w="1728" w:type="dxa"/>
            <w:vAlign w:val="center"/>
          </w:tcPr>
          <w:p w:rsidR="00757ED7" w:rsidRPr="00010700" w:rsidRDefault="00757ED7" w:rsidP="00376A2B">
            <w:pPr>
              <w:jc w:val="right"/>
              <w:rPr>
                <w:u w:val="single"/>
              </w:rPr>
            </w:pPr>
            <w:r w:rsidRPr="00010700">
              <w:rPr>
                <w:u w:val="single"/>
              </w:rPr>
              <w:t>530,371</w:t>
            </w:r>
          </w:p>
        </w:tc>
      </w:tr>
      <w:tr w:rsidR="00757ED7" w:rsidTr="00010700">
        <w:tc>
          <w:tcPr>
            <w:tcW w:w="7848" w:type="dxa"/>
            <w:vAlign w:val="center"/>
          </w:tcPr>
          <w:p w:rsidR="00757ED7" w:rsidRDefault="00757ED7" w:rsidP="00376A2B">
            <w:r>
              <w:t>Total</w:t>
            </w:r>
          </w:p>
        </w:tc>
        <w:tc>
          <w:tcPr>
            <w:tcW w:w="1728" w:type="dxa"/>
            <w:vAlign w:val="center"/>
          </w:tcPr>
          <w:p w:rsidR="00757ED7" w:rsidRDefault="003E1EBE" w:rsidP="00376A2B">
            <w:pPr>
              <w:jc w:val="right"/>
            </w:pPr>
            <w:r>
              <w:t>2,119,089</w:t>
            </w:r>
          </w:p>
        </w:tc>
      </w:tr>
      <w:tr w:rsidR="00757ED7" w:rsidTr="00010700">
        <w:tc>
          <w:tcPr>
            <w:tcW w:w="7848" w:type="dxa"/>
            <w:vAlign w:val="center"/>
          </w:tcPr>
          <w:p w:rsidR="00757ED7" w:rsidRDefault="00757ED7" w:rsidP="00376A2B">
            <w:r>
              <w:t>Less: Accumulated depreciation</w:t>
            </w:r>
          </w:p>
        </w:tc>
        <w:tc>
          <w:tcPr>
            <w:tcW w:w="1728" w:type="dxa"/>
            <w:vAlign w:val="center"/>
          </w:tcPr>
          <w:p w:rsidR="00757ED7" w:rsidRPr="00010700" w:rsidRDefault="003E1EBE" w:rsidP="00376A2B">
            <w:pPr>
              <w:jc w:val="right"/>
              <w:rPr>
                <w:u w:val="single"/>
              </w:rPr>
            </w:pPr>
            <w:r>
              <w:rPr>
                <w:u w:val="single"/>
              </w:rPr>
              <w:t>(1,866,054</w:t>
            </w:r>
            <w:r w:rsidR="00757ED7" w:rsidRPr="00010700">
              <w:rPr>
                <w:u w:val="single"/>
              </w:rPr>
              <w:t>)</w:t>
            </w:r>
          </w:p>
        </w:tc>
      </w:tr>
      <w:tr w:rsidR="00757ED7" w:rsidTr="00010700">
        <w:trPr>
          <w:trHeight w:val="377"/>
        </w:trPr>
        <w:tc>
          <w:tcPr>
            <w:tcW w:w="7848" w:type="dxa"/>
            <w:vAlign w:val="center"/>
          </w:tcPr>
          <w:p w:rsidR="00757ED7" w:rsidRDefault="00757ED7" w:rsidP="00376A2B">
            <w:pPr>
              <w:ind w:left="360" w:hanging="90"/>
            </w:pPr>
            <w:r>
              <w:t>Property and equipment - net</w:t>
            </w:r>
          </w:p>
        </w:tc>
        <w:tc>
          <w:tcPr>
            <w:tcW w:w="1728" w:type="dxa"/>
            <w:vAlign w:val="center"/>
          </w:tcPr>
          <w:p w:rsidR="00757ED7" w:rsidRPr="00010700" w:rsidRDefault="003E1EBE" w:rsidP="00376A2B">
            <w:pPr>
              <w:jc w:val="right"/>
              <w:rPr>
                <w:u w:val="double"/>
              </w:rPr>
            </w:pPr>
            <w:r>
              <w:rPr>
                <w:u w:val="double"/>
              </w:rPr>
              <w:t>$253,035</w:t>
            </w:r>
          </w:p>
        </w:tc>
      </w:tr>
    </w:tbl>
    <w:p w:rsidR="009F7F9D" w:rsidRDefault="00280205" w:rsidP="00376A2B">
      <w:pPr>
        <w:spacing w:before="240"/>
      </w:pPr>
      <w:r>
        <w:t xml:space="preserve">Depreciation expense for </w:t>
      </w:r>
      <w:r w:rsidR="003E1EBE">
        <w:t>the year ended December 31, 2015 amounted to $73,521</w:t>
      </w:r>
      <w:r>
        <w:t>.</w:t>
      </w:r>
    </w:p>
    <w:p w:rsidR="00280205" w:rsidRDefault="00BC641C" w:rsidP="00376A2B">
      <w:pPr>
        <w:pStyle w:val="Heading3"/>
      </w:pPr>
      <w:bookmarkStart w:id="53" w:name="_Toc415727704"/>
      <w:r>
        <w:t>NOTE 6</w:t>
      </w:r>
      <w:r w:rsidR="00280205">
        <w:t xml:space="preserve"> - ALTERNATIVE INVESTMENTS</w:t>
      </w:r>
      <w:bookmarkEnd w:id="53"/>
    </w:p>
    <w:p w:rsidR="0046285D" w:rsidRPr="0046285D" w:rsidRDefault="0046285D" w:rsidP="00376A2B">
      <w:r w:rsidRPr="0046285D">
        <w:t xml:space="preserve">The Federation makes program-related investments to further its purpose of integrating the blind into society on the basis of equality. Such investments are made primarily to accomplish the Federation's program purpose </w:t>
      </w:r>
      <w:r>
        <w:t>rather than to produce income. As a result, changes in investments as a result of the investee's income or loss are reported as program costs in the statement of activities.</w:t>
      </w:r>
    </w:p>
    <w:p w:rsidR="0046285D" w:rsidRPr="0046285D" w:rsidRDefault="0046285D" w:rsidP="00376A2B"/>
    <w:p w:rsidR="00280205" w:rsidRDefault="0046285D" w:rsidP="00376A2B">
      <w:pPr>
        <w:spacing w:after="240"/>
      </w:pPr>
      <w:r w:rsidRPr="0046285D">
        <w:t>The Federation has invested $125,000 in E.A.S.Y., LLC (EASY), to develop and market products to enhance the technologies for freehand tactile graphics. The Federation considers its investment in EASY to be a program-related investment made for the purpose of insuring that the blind have tools to produce, edit and communicate using freehand tactile drawings. The Federation has a twenty percent (20%) interest and has the ability to exert significant influence. The investment is accounted for under the equity method of accounting.</w:t>
      </w:r>
      <w:r w:rsidR="00CF010B">
        <w:t xml:space="preserve"> </w:t>
      </w:r>
    </w:p>
    <w:p w:rsidR="00464D55" w:rsidRDefault="00CF010B" w:rsidP="00376A2B">
      <w:pPr>
        <w:spacing w:after="240"/>
      </w:pPr>
      <w:r>
        <w:t>The Federation has invested $</w:t>
      </w:r>
      <w:r w:rsidR="00464D55">
        <w:t>260,000</w:t>
      </w:r>
      <w:r>
        <w:t xml:space="preserve"> in Transforming Braille Group, LLC (TBG), to support and encourage the development of lower cost Braille devices, tools, and equipment. The Federation considers its investment in TBG to be a program-related investment made for the purpose of insuring that the blind have the ability to obtain Braille instruments</w:t>
      </w:r>
      <w:r w:rsidR="00716DD2">
        <w:t>.</w:t>
      </w:r>
      <w:r>
        <w:t xml:space="preserve"> The Federation has a twenty-one percent (21%) interest and has the ability to exert significant influence. The investment is account</w:t>
      </w:r>
      <w:r w:rsidR="00716DD2">
        <w:t>ed</w:t>
      </w:r>
      <w:r>
        <w:t xml:space="preserve"> for under the equity method of accounting. </w:t>
      </w:r>
    </w:p>
    <w:p w:rsidR="00CF010B" w:rsidRDefault="00CF010B" w:rsidP="00376A2B">
      <w:pPr>
        <w:spacing w:after="240"/>
      </w:pPr>
      <w:r>
        <w:t>The Federation's inves</w:t>
      </w:r>
      <w:r w:rsidR="00464D55">
        <w:t xml:space="preserve">tments in joint ventures </w:t>
      </w:r>
      <w:r>
        <w:t>were as follows:</w:t>
      </w:r>
    </w:p>
    <w:tbl>
      <w:tblPr>
        <w:tblStyle w:val="TableGrid"/>
        <w:tblW w:w="0" w:type="auto"/>
        <w:tblLook w:val="04A0" w:firstRow="1" w:lastRow="0" w:firstColumn="1" w:lastColumn="0" w:noHBand="0" w:noVBand="1"/>
      </w:tblPr>
      <w:tblGrid>
        <w:gridCol w:w="4248"/>
        <w:gridCol w:w="2070"/>
        <w:gridCol w:w="1620"/>
        <w:gridCol w:w="1638"/>
      </w:tblGrid>
      <w:tr w:rsidR="00E858CF" w:rsidTr="00E858CF">
        <w:tc>
          <w:tcPr>
            <w:tcW w:w="4248" w:type="dxa"/>
          </w:tcPr>
          <w:p w:rsidR="00E858CF" w:rsidRDefault="00E858CF" w:rsidP="00376A2B"/>
        </w:tc>
        <w:tc>
          <w:tcPr>
            <w:tcW w:w="2070" w:type="dxa"/>
            <w:vAlign w:val="bottom"/>
          </w:tcPr>
          <w:p w:rsidR="00E858CF" w:rsidRDefault="00E858CF" w:rsidP="00376A2B">
            <w:pPr>
              <w:jc w:val="center"/>
            </w:pPr>
            <w:r>
              <w:t>EASY</w:t>
            </w:r>
          </w:p>
        </w:tc>
        <w:tc>
          <w:tcPr>
            <w:tcW w:w="1620" w:type="dxa"/>
            <w:vAlign w:val="bottom"/>
          </w:tcPr>
          <w:p w:rsidR="00E858CF" w:rsidRDefault="00E858CF" w:rsidP="00376A2B">
            <w:pPr>
              <w:jc w:val="center"/>
            </w:pPr>
            <w:r>
              <w:t>TBG</w:t>
            </w:r>
          </w:p>
        </w:tc>
        <w:tc>
          <w:tcPr>
            <w:tcW w:w="1638" w:type="dxa"/>
            <w:vAlign w:val="bottom"/>
          </w:tcPr>
          <w:p w:rsidR="00E858CF" w:rsidRDefault="00E858CF" w:rsidP="00376A2B">
            <w:pPr>
              <w:jc w:val="center"/>
            </w:pPr>
            <w:r>
              <w:t>Totals</w:t>
            </w:r>
          </w:p>
        </w:tc>
      </w:tr>
      <w:tr w:rsidR="00E858CF" w:rsidTr="00E858CF">
        <w:tc>
          <w:tcPr>
            <w:tcW w:w="4248" w:type="dxa"/>
            <w:vAlign w:val="bottom"/>
          </w:tcPr>
          <w:p w:rsidR="00E858CF" w:rsidRDefault="00A00B6E" w:rsidP="00376A2B">
            <w:r>
              <w:t>Balance at December 31, 2014</w:t>
            </w:r>
          </w:p>
        </w:tc>
        <w:tc>
          <w:tcPr>
            <w:tcW w:w="2070" w:type="dxa"/>
            <w:vAlign w:val="bottom"/>
          </w:tcPr>
          <w:p w:rsidR="00E858CF" w:rsidRDefault="00A00B6E" w:rsidP="00376A2B">
            <w:pPr>
              <w:jc w:val="center"/>
            </w:pPr>
            <w:r>
              <w:t>$87,577</w:t>
            </w:r>
          </w:p>
        </w:tc>
        <w:tc>
          <w:tcPr>
            <w:tcW w:w="1620" w:type="dxa"/>
            <w:vAlign w:val="bottom"/>
          </w:tcPr>
          <w:p w:rsidR="00E858CF" w:rsidRDefault="00A00B6E" w:rsidP="00376A2B">
            <w:pPr>
              <w:jc w:val="center"/>
            </w:pPr>
            <w:r>
              <w:t>$41,481</w:t>
            </w:r>
          </w:p>
        </w:tc>
        <w:tc>
          <w:tcPr>
            <w:tcW w:w="1638" w:type="dxa"/>
            <w:vAlign w:val="bottom"/>
          </w:tcPr>
          <w:p w:rsidR="00E858CF" w:rsidRDefault="00A00B6E" w:rsidP="00376A2B">
            <w:pPr>
              <w:jc w:val="center"/>
            </w:pPr>
            <w:r>
              <w:t>$129,058</w:t>
            </w:r>
          </w:p>
        </w:tc>
      </w:tr>
      <w:tr w:rsidR="00E858CF" w:rsidTr="00E858CF">
        <w:tc>
          <w:tcPr>
            <w:tcW w:w="4248" w:type="dxa"/>
            <w:vAlign w:val="bottom"/>
          </w:tcPr>
          <w:p w:rsidR="00E858CF" w:rsidRDefault="00E858CF" w:rsidP="00376A2B">
            <w:r>
              <w:t>Capital contributions</w:t>
            </w:r>
          </w:p>
        </w:tc>
        <w:tc>
          <w:tcPr>
            <w:tcW w:w="2070" w:type="dxa"/>
            <w:vAlign w:val="bottom"/>
          </w:tcPr>
          <w:p w:rsidR="00E858CF" w:rsidRDefault="00E858CF" w:rsidP="00376A2B">
            <w:pPr>
              <w:jc w:val="center"/>
            </w:pPr>
            <w:r>
              <w:t>-</w:t>
            </w:r>
            <w:r w:rsidR="00BA4F3C">
              <w:t>-</w:t>
            </w:r>
          </w:p>
        </w:tc>
        <w:tc>
          <w:tcPr>
            <w:tcW w:w="1620" w:type="dxa"/>
            <w:vAlign w:val="bottom"/>
          </w:tcPr>
          <w:p w:rsidR="00E858CF" w:rsidRDefault="00A00B6E" w:rsidP="00376A2B">
            <w:pPr>
              <w:jc w:val="center"/>
            </w:pPr>
            <w:r>
              <w:t>172</w:t>
            </w:r>
            <w:r w:rsidR="00E858CF">
              <w:t>,500</w:t>
            </w:r>
          </w:p>
        </w:tc>
        <w:tc>
          <w:tcPr>
            <w:tcW w:w="1638" w:type="dxa"/>
            <w:vAlign w:val="bottom"/>
          </w:tcPr>
          <w:p w:rsidR="00E858CF" w:rsidRDefault="00A00B6E" w:rsidP="00376A2B">
            <w:pPr>
              <w:jc w:val="center"/>
            </w:pPr>
            <w:r>
              <w:t>172</w:t>
            </w:r>
            <w:r w:rsidR="00E858CF">
              <w:t>,500</w:t>
            </w:r>
          </w:p>
        </w:tc>
      </w:tr>
      <w:tr w:rsidR="00E858CF" w:rsidTr="00E858CF">
        <w:tc>
          <w:tcPr>
            <w:tcW w:w="4248" w:type="dxa"/>
            <w:vAlign w:val="bottom"/>
          </w:tcPr>
          <w:p w:rsidR="00E858CF" w:rsidRDefault="00E858CF" w:rsidP="00376A2B">
            <w:r>
              <w:t>Net income (loss)</w:t>
            </w:r>
          </w:p>
        </w:tc>
        <w:tc>
          <w:tcPr>
            <w:tcW w:w="2070" w:type="dxa"/>
            <w:vAlign w:val="bottom"/>
          </w:tcPr>
          <w:p w:rsidR="00E858CF" w:rsidRPr="00BA4F3C" w:rsidRDefault="00A00B6E" w:rsidP="00376A2B">
            <w:pPr>
              <w:jc w:val="center"/>
              <w:rPr>
                <w:u w:val="single"/>
              </w:rPr>
            </w:pPr>
            <w:r>
              <w:rPr>
                <w:u w:val="single"/>
              </w:rPr>
              <w:t>2,914</w:t>
            </w:r>
          </w:p>
        </w:tc>
        <w:tc>
          <w:tcPr>
            <w:tcW w:w="1620" w:type="dxa"/>
            <w:vAlign w:val="bottom"/>
          </w:tcPr>
          <w:p w:rsidR="00E858CF" w:rsidRPr="00BA4F3C" w:rsidRDefault="00A00B6E" w:rsidP="00376A2B">
            <w:pPr>
              <w:jc w:val="center"/>
              <w:rPr>
                <w:u w:val="single"/>
              </w:rPr>
            </w:pPr>
            <w:r>
              <w:rPr>
                <w:u w:val="single"/>
              </w:rPr>
              <w:t>(114,003)</w:t>
            </w:r>
          </w:p>
        </w:tc>
        <w:tc>
          <w:tcPr>
            <w:tcW w:w="1638" w:type="dxa"/>
            <w:vAlign w:val="bottom"/>
          </w:tcPr>
          <w:p w:rsidR="00E858CF" w:rsidRPr="00BA4F3C" w:rsidRDefault="00A00B6E" w:rsidP="00376A2B">
            <w:pPr>
              <w:jc w:val="center"/>
              <w:rPr>
                <w:u w:val="single"/>
              </w:rPr>
            </w:pPr>
            <w:r>
              <w:rPr>
                <w:u w:val="single"/>
              </w:rPr>
              <w:t>(111,089)</w:t>
            </w:r>
          </w:p>
        </w:tc>
      </w:tr>
      <w:tr w:rsidR="00E858CF" w:rsidTr="00BA4F3C">
        <w:trPr>
          <w:trHeight w:val="413"/>
        </w:trPr>
        <w:tc>
          <w:tcPr>
            <w:tcW w:w="4248" w:type="dxa"/>
            <w:vAlign w:val="center"/>
          </w:tcPr>
          <w:p w:rsidR="00E858CF" w:rsidRDefault="00E858CF" w:rsidP="00376A2B">
            <w:pPr>
              <w:jc w:val="center"/>
            </w:pPr>
            <w:r>
              <w:t>Balance at Decemb</w:t>
            </w:r>
            <w:r w:rsidR="00A00B6E">
              <w:t>er 31, 2015</w:t>
            </w:r>
          </w:p>
        </w:tc>
        <w:tc>
          <w:tcPr>
            <w:tcW w:w="2070" w:type="dxa"/>
            <w:vAlign w:val="center"/>
          </w:tcPr>
          <w:p w:rsidR="00E858CF" w:rsidRPr="00BA4F3C" w:rsidRDefault="00A00B6E" w:rsidP="00376A2B">
            <w:pPr>
              <w:jc w:val="center"/>
              <w:rPr>
                <w:u w:val="double"/>
              </w:rPr>
            </w:pPr>
            <w:r>
              <w:rPr>
                <w:u w:val="double"/>
              </w:rPr>
              <w:t>$90,491</w:t>
            </w:r>
          </w:p>
        </w:tc>
        <w:tc>
          <w:tcPr>
            <w:tcW w:w="1620" w:type="dxa"/>
            <w:vAlign w:val="center"/>
          </w:tcPr>
          <w:p w:rsidR="00E858CF" w:rsidRPr="00BA4F3C" w:rsidRDefault="00A00B6E" w:rsidP="00376A2B">
            <w:pPr>
              <w:jc w:val="center"/>
              <w:rPr>
                <w:u w:val="double"/>
              </w:rPr>
            </w:pPr>
            <w:r>
              <w:rPr>
                <w:u w:val="double"/>
              </w:rPr>
              <w:t>$99,978</w:t>
            </w:r>
          </w:p>
        </w:tc>
        <w:tc>
          <w:tcPr>
            <w:tcW w:w="1638" w:type="dxa"/>
            <w:vAlign w:val="center"/>
          </w:tcPr>
          <w:p w:rsidR="00E858CF" w:rsidRPr="00BA4F3C" w:rsidRDefault="00A00B6E" w:rsidP="00376A2B">
            <w:pPr>
              <w:jc w:val="center"/>
              <w:rPr>
                <w:u w:val="double"/>
              </w:rPr>
            </w:pPr>
            <w:r>
              <w:rPr>
                <w:u w:val="double"/>
              </w:rPr>
              <w:t>$190,469</w:t>
            </w:r>
          </w:p>
        </w:tc>
      </w:tr>
    </w:tbl>
    <w:p w:rsidR="00CF010B" w:rsidRDefault="00BA4F3C" w:rsidP="00376A2B">
      <w:pPr>
        <w:spacing w:before="240" w:after="240"/>
      </w:pPr>
      <w:r>
        <w:t xml:space="preserve">The following is a summary of the Federation's join ventures' condensed financial information as of and for </w:t>
      </w:r>
      <w:r w:rsidR="00A00B6E">
        <w:t>the year ended December 31, 2015</w:t>
      </w:r>
      <w:r>
        <w:t>:</w:t>
      </w:r>
    </w:p>
    <w:tbl>
      <w:tblPr>
        <w:tblStyle w:val="TableGrid"/>
        <w:tblW w:w="0" w:type="auto"/>
        <w:tblLook w:val="04A0" w:firstRow="1" w:lastRow="0" w:firstColumn="1" w:lastColumn="0" w:noHBand="0" w:noVBand="1"/>
      </w:tblPr>
      <w:tblGrid>
        <w:gridCol w:w="3192"/>
        <w:gridCol w:w="3192"/>
        <w:gridCol w:w="3192"/>
      </w:tblGrid>
      <w:tr w:rsidR="00BA4F3C" w:rsidTr="00BA4F3C">
        <w:trPr>
          <w:tblHeader/>
        </w:trPr>
        <w:tc>
          <w:tcPr>
            <w:tcW w:w="3192" w:type="dxa"/>
          </w:tcPr>
          <w:p w:rsidR="00BA4F3C" w:rsidRDefault="00BA4F3C" w:rsidP="00376A2B"/>
        </w:tc>
        <w:tc>
          <w:tcPr>
            <w:tcW w:w="3192" w:type="dxa"/>
            <w:vAlign w:val="center"/>
          </w:tcPr>
          <w:p w:rsidR="00BA4F3C" w:rsidRDefault="00BA4F3C" w:rsidP="00376A2B">
            <w:pPr>
              <w:jc w:val="center"/>
            </w:pPr>
            <w:r>
              <w:t>EASY</w:t>
            </w:r>
          </w:p>
        </w:tc>
        <w:tc>
          <w:tcPr>
            <w:tcW w:w="3192" w:type="dxa"/>
            <w:vAlign w:val="center"/>
          </w:tcPr>
          <w:p w:rsidR="00BA4F3C" w:rsidRDefault="00BA4F3C" w:rsidP="00376A2B">
            <w:pPr>
              <w:jc w:val="center"/>
            </w:pPr>
            <w:r>
              <w:t>TBG</w:t>
            </w:r>
          </w:p>
        </w:tc>
      </w:tr>
      <w:tr w:rsidR="00BA4F3C" w:rsidTr="00BA4F3C">
        <w:trPr>
          <w:trHeight w:val="413"/>
        </w:trPr>
        <w:tc>
          <w:tcPr>
            <w:tcW w:w="3192" w:type="dxa"/>
            <w:vAlign w:val="center"/>
          </w:tcPr>
          <w:p w:rsidR="00BA4F3C" w:rsidRDefault="00BA4F3C" w:rsidP="00376A2B">
            <w:r>
              <w:t>Assets</w:t>
            </w:r>
          </w:p>
        </w:tc>
        <w:tc>
          <w:tcPr>
            <w:tcW w:w="3192" w:type="dxa"/>
            <w:vAlign w:val="center"/>
          </w:tcPr>
          <w:p w:rsidR="00BA4F3C" w:rsidRPr="00BA4F3C" w:rsidRDefault="00A00B6E" w:rsidP="00376A2B">
            <w:pPr>
              <w:jc w:val="center"/>
              <w:rPr>
                <w:u w:val="double"/>
              </w:rPr>
            </w:pPr>
            <w:r>
              <w:rPr>
                <w:u w:val="double"/>
              </w:rPr>
              <w:t>$35,995</w:t>
            </w:r>
          </w:p>
        </w:tc>
        <w:tc>
          <w:tcPr>
            <w:tcW w:w="3192" w:type="dxa"/>
            <w:vAlign w:val="center"/>
          </w:tcPr>
          <w:p w:rsidR="00BA4F3C" w:rsidRPr="00BA4F3C" w:rsidRDefault="00A00B6E" w:rsidP="00376A2B">
            <w:pPr>
              <w:jc w:val="center"/>
              <w:rPr>
                <w:u w:val="double"/>
              </w:rPr>
            </w:pPr>
            <w:r>
              <w:rPr>
                <w:u w:val="double"/>
              </w:rPr>
              <w:t>$408,386</w:t>
            </w:r>
          </w:p>
        </w:tc>
      </w:tr>
      <w:tr w:rsidR="00BA4F3C" w:rsidTr="00BA4F3C">
        <w:tc>
          <w:tcPr>
            <w:tcW w:w="3192" w:type="dxa"/>
            <w:vAlign w:val="center"/>
          </w:tcPr>
          <w:p w:rsidR="00BA4F3C" w:rsidRDefault="00BA4F3C" w:rsidP="00376A2B">
            <w:r>
              <w:t>Liabilities</w:t>
            </w:r>
          </w:p>
        </w:tc>
        <w:tc>
          <w:tcPr>
            <w:tcW w:w="3192" w:type="dxa"/>
            <w:vAlign w:val="center"/>
          </w:tcPr>
          <w:p w:rsidR="00BA4F3C" w:rsidRDefault="00A00B6E" w:rsidP="00376A2B">
            <w:pPr>
              <w:jc w:val="center"/>
            </w:pPr>
            <w:r>
              <w:t>$94,557</w:t>
            </w:r>
          </w:p>
        </w:tc>
        <w:tc>
          <w:tcPr>
            <w:tcW w:w="3192" w:type="dxa"/>
            <w:vAlign w:val="center"/>
          </w:tcPr>
          <w:p w:rsidR="00BA4F3C" w:rsidRDefault="00BA4F3C" w:rsidP="00376A2B">
            <w:pPr>
              <w:jc w:val="center"/>
            </w:pPr>
            <w:r>
              <w:t>$--</w:t>
            </w:r>
          </w:p>
        </w:tc>
      </w:tr>
      <w:tr w:rsidR="00BA4F3C" w:rsidTr="00BA4F3C">
        <w:tc>
          <w:tcPr>
            <w:tcW w:w="3192" w:type="dxa"/>
            <w:vAlign w:val="center"/>
          </w:tcPr>
          <w:p w:rsidR="00BA4F3C" w:rsidRDefault="00BA4F3C" w:rsidP="00376A2B">
            <w:r>
              <w:t>Equity</w:t>
            </w:r>
          </w:p>
        </w:tc>
        <w:tc>
          <w:tcPr>
            <w:tcW w:w="3192" w:type="dxa"/>
            <w:vAlign w:val="center"/>
          </w:tcPr>
          <w:p w:rsidR="00BA4F3C" w:rsidRPr="00BA4F3C" w:rsidRDefault="00A00B6E" w:rsidP="00376A2B">
            <w:pPr>
              <w:jc w:val="center"/>
              <w:rPr>
                <w:u w:val="single"/>
              </w:rPr>
            </w:pPr>
            <w:r>
              <w:rPr>
                <w:u w:val="single"/>
              </w:rPr>
              <w:t>(58,562)</w:t>
            </w:r>
          </w:p>
        </w:tc>
        <w:tc>
          <w:tcPr>
            <w:tcW w:w="3192" w:type="dxa"/>
            <w:vAlign w:val="center"/>
          </w:tcPr>
          <w:p w:rsidR="00BA4F3C" w:rsidRPr="00BA4F3C" w:rsidRDefault="00A00B6E" w:rsidP="00376A2B">
            <w:pPr>
              <w:jc w:val="center"/>
              <w:rPr>
                <w:u w:val="single"/>
              </w:rPr>
            </w:pPr>
            <w:r>
              <w:rPr>
                <w:u w:val="single"/>
              </w:rPr>
              <w:t>408,386</w:t>
            </w:r>
          </w:p>
        </w:tc>
      </w:tr>
      <w:tr w:rsidR="00BA4F3C" w:rsidTr="00BA4F3C">
        <w:trPr>
          <w:trHeight w:val="395"/>
        </w:trPr>
        <w:tc>
          <w:tcPr>
            <w:tcW w:w="3192" w:type="dxa"/>
            <w:vAlign w:val="center"/>
          </w:tcPr>
          <w:p w:rsidR="00BA4F3C" w:rsidRDefault="00BA4F3C" w:rsidP="00376A2B">
            <w:r>
              <w:t>Total liabilities and equity</w:t>
            </w:r>
          </w:p>
        </w:tc>
        <w:tc>
          <w:tcPr>
            <w:tcW w:w="3192" w:type="dxa"/>
            <w:vAlign w:val="center"/>
          </w:tcPr>
          <w:p w:rsidR="00BA4F3C" w:rsidRPr="00BA4F3C" w:rsidRDefault="00A00B6E" w:rsidP="00376A2B">
            <w:pPr>
              <w:jc w:val="center"/>
              <w:rPr>
                <w:u w:val="double"/>
              </w:rPr>
            </w:pPr>
            <w:r>
              <w:rPr>
                <w:u w:val="double"/>
              </w:rPr>
              <w:t>$35,995</w:t>
            </w:r>
          </w:p>
        </w:tc>
        <w:tc>
          <w:tcPr>
            <w:tcW w:w="3192" w:type="dxa"/>
            <w:vAlign w:val="center"/>
          </w:tcPr>
          <w:p w:rsidR="00BA4F3C" w:rsidRPr="00BA4F3C" w:rsidRDefault="00A00B6E" w:rsidP="00376A2B">
            <w:pPr>
              <w:jc w:val="center"/>
              <w:rPr>
                <w:u w:val="double"/>
              </w:rPr>
            </w:pPr>
            <w:r>
              <w:rPr>
                <w:u w:val="double"/>
              </w:rPr>
              <w:t>$408,386</w:t>
            </w:r>
          </w:p>
        </w:tc>
      </w:tr>
      <w:tr w:rsidR="00BA4F3C" w:rsidTr="00BA4F3C">
        <w:tc>
          <w:tcPr>
            <w:tcW w:w="3192" w:type="dxa"/>
            <w:vAlign w:val="center"/>
          </w:tcPr>
          <w:p w:rsidR="00BA4F3C" w:rsidRDefault="00BA4F3C" w:rsidP="00376A2B">
            <w:r>
              <w:t>Revenue</w:t>
            </w:r>
          </w:p>
        </w:tc>
        <w:tc>
          <w:tcPr>
            <w:tcW w:w="3192" w:type="dxa"/>
            <w:vAlign w:val="center"/>
          </w:tcPr>
          <w:p w:rsidR="00BA4F3C" w:rsidRDefault="00A00B6E" w:rsidP="00376A2B">
            <w:pPr>
              <w:jc w:val="center"/>
            </w:pPr>
            <w:r>
              <w:t>$93,881</w:t>
            </w:r>
          </w:p>
        </w:tc>
        <w:tc>
          <w:tcPr>
            <w:tcW w:w="3192" w:type="dxa"/>
            <w:vAlign w:val="center"/>
          </w:tcPr>
          <w:p w:rsidR="00BA4F3C" w:rsidRDefault="00A00B6E" w:rsidP="00376A2B">
            <w:pPr>
              <w:jc w:val="center"/>
            </w:pPr>
            <w:r>
              <w:t>$44</w:t>
            </w:r>
          </w:p>
        </w:tc>
      </w:tr>
      <w:tr w:rsidR="00BA4F3C" w:rsidTr="00BA4F3C">
        <w:trPr>
          <w:trHeight w:val="386"/>
        </w:trPr>
        <w:tc>
          <w:tcPr>
            <w:tcW w:w="3192" w:type="dxa"/>
            <w:vAlign w:val="center"/>
          </w:tcPr>
          <w:p w:rsidR="00BA4F3C" w:rsidRDefault="00BA4F3C" w:rsidP="00376A2B">
            <w:r>
              <w:t>Expenses</w:t>
            </w:r>
          </w:p>
        </w:tc>
        <w:tc>
          <w:tcPr>
            <w:tcW w:w="3192" w:type="dxa"/>
            <w:vAlign w:val="center"/>
          </w:tcPr>
          <w:p w:rsidR="00BA4F3C" w:rsidRPr="00BA4F3C" w:rsidRDefault="00A00B6E" w:rsidP="00376A2B">
            <w:pPr>
              <w:jc w:val="center"/>
              <w:rPr>
                <w:u w:val="single"/>
              </w:rPr>
            </w:pPr>
            <w:r>
              <w:rPr>
                <w:u w:val="single"/>
              </w:rPr>
              <w:t>(79,311)</w:t>
            </w:r>
          </w:p>
        </w:tc>
        <w:tc>
          <w:tcPr>
            <w:tcW w:w="3192" w:type="dxa"/>
            <w:vAlign w:val="center"/>
          </w:tcPr>
          <w:p w:rsidR="00BA4F3C" w:rsidRPr="00BA4F3C" w:rsidRDefault="00A00B6E" w:rsidP="00376A2B">
            <w:pPr>
              <w:jc w:val="center"/>
              <w:rPr>
                <w:u w:val="single"/>
              </w:rPr>
            </w:pPr>
            <w:r>
              <w:rPr>
                <w:u w:val="single"/>
              </w:rPr>
              <w:t>(549,668)</w:t>
            </w:r>
          </w:p>
        </w:tc>
      </w:tr>
      <w:tr w:rsidR="00BA4F3C" w:rsidTr="00BA4F3C">
        <w:trPr>
          <w:trHeight w:val="494"/>
        </w:trPr>
        <w:tc>
          <w:tcPr>
            <w:tcW w:w="3192" w:type="dxa"/>
            <w:vAlign w:val="center"/>
          </w:tcPr>
          <w:p w:rsidR="00BA4F3C" w:rsidRDefault="00BA4F3C" w:rsidP="00376A2B">
            <w:r>
              <w:t>Net income (loss)</w:t>
            </w:r>
          </w:p>
        </w:tc>
        <w:tc>
          <w:tcPr>
            <w:tcW w:w="3192" w:type="dxa"/>
            <w:vAlign w:val="center"/>
          </w:tcPr>
          <w:p w:rsidR="00BA4F3C" w:rsidRPr="00BA4F3C" w:rsidRDefault="00A00B6E" w:rsidP="00376A2B">
            <w:pPr>
              <w:jc w:val="center"/>
              <w:rPr>
                <w:u w:val="double"/>
              </w:rPr>
            </w:pPr>
            <w:r>
              <w:rPr>
                <w:u w:val="double"/>
              </w:rPr>
              <w:t>$14,570</w:t>
            </w:r>
          </w:p>
        </w:tc>
        <w:tc>
          <w:tcPr>
            <w:tcW w:w="3192" w:type="dxa"/>
            <w:vAlign w:val="center"/>
          </w:tcPr>
          <w:p w:rsidR="00BA4F3C" w:rsidRPr="00BA4F3C" w:rsidRDefault="00A00B6E" w:rsidP="00376A2B">
            <w:pPr>
              <w:jc w:val="center"/>
              <w:rPr>
                <w:u w:val="double"/>
              </w:rPr>
            </w:pPr>
            <w:r>
              <w:rPr>
                <w:u w:val="double"/>
              </w:rPr>
              <w:t>$(549,624)</w:t>
            </w:r>
          </w:p>
        </w:tc>
      </w:tr>
    </w:tbl>
    <w:p w:rsidR="00BA4F3C" w:rsidRDefault="00BC641C" w:rsidP="00376A2B">
      <w:pPr>
        <w:pStyle w:val="Heading3"/>
      </w:pPr>
      <w:bookmarkStart w:id="54" w:name="_Toc415727708"/>
      <w:r>
        <w:t>NOTE 7</w:t>
      </w:r>
      <w:r w:rsidR="00BA4F3C">
        <w:t xml:space="preserve"> - FAIR VALUE MEASUREMENTS</w:t>
      </w:r>
      <w:bookmarkEnd w:id="54"/>
    </w:p>
    <w:p w:rsidR="00285FD8" w:rsidRPr="00AC4AD6" w:rsidRDefault="00285FD8" w:rsidP="00376A2B">
      <w:pPr>
        <w:pStyle w:val="NoSpacing"/>
      </w:pPr>
      <w:r w:rsidRPr="00AC4AD6">
        <w:t>The Federation accounts for the fair value of its investments under the Fair Value Measurement and Disclosure topic of the FASB Accounting Standards Codification, which provides the framework for measuring fair value. That framework provides a fair value hierarchy that prioritizes the inputs to valuation techniques used to measure fair value. The hierarchy gives the highest priority to unadjusted quoted prices in active markets for identical</w:t>
      </w:r>
      <w:r>
        <w:t xml:space="preserve"> assets or liabilities (level 1 </w:t>
      </w:r>
      <w:r w:rsidRPr="00AC4AD6">
        <w:t xml:space="preserve">measurements) and the lowest </w:t>
      </w:r>
      <w:r w:rsidRPr="00285FD8">
        <w:t>priority</w:t>
      </w:r>
      <w:r w:rsidRPr="00AC4AD6">
        <w:t xml:space="preserve"> to unobservable inputs (level 3 measurements). The three (3) levels of the fair value hierarchy under </w:t>
      </w:r>
      <w:r w:rsidR="00EE5ED4">
        <w:t>t</w:t>
      </w:r>
      <w:r w:rsidRPr="00AC4AD6">
        <w:t>his guidance are described as follows:</w:t>
      </w:r>
    </w:p>
    <w:p w:rsidR="00285FD8" w:rsidRPr="00996EB2" w:rsidRDefault="00285FD8" w:rsidP="00EE5ED4">
      <w:pPr>
        <w:pStyle w:val="Heading4"/>
        <w:ind w:left="360"/>
      </w:pPr>
      <w:bookmarkStart w:id="55" w:name="_Toc415727709"/>
      <w:r w:rsidRPr="00996EB2">
        <w:t>Level 1</w:t>
      </w:r>
      <w:bookmarkEnd w:id="55"/>
    </w:p>
    <w:p w:rsidR="00285FD8" w:rsidRDefault="00285FD8" w:rsidP="00EE5ED4">
      <w:pPr>
        <w:pStyle w:val="NoSpacing"/>
        <w:ind w:left="360"/>
      </w:pPr>
      <w:r w:rsidRPr="00AC4AD6">
        <w:t>Inputs to the valuation methodology are unadjusted quoted prices for identical assets or liabilities in active markets that the Federation has the ability to access.</w:t>
      </w:r>
    </w:p>
    <w:p w:rsidR="00285FD8" w:rsidRPr="00996EB2" w:rsidRDefault="00285FD8" w:rsidP="00EE5ED4">
      <w:pPr>
        <w:pStyle w:val="Heading4"/>
        <w:ind w:left="360"/>
      </w:pPr>
      <w:bookmarkStart w:id="56" w:name="_Toc415727710"/>
      <w:r w:rsidRPr="00996EB2">
        <w:t>Level 2</w:t>
      </w:r>
      <w:bookmarkEnd w:id="56"/>
    </w:p>
    <w:p w:rsidR="00285FD8" w:rsidRPr="00AC4AD6" w:rsidRDefault="00285FD8" w:rsidP="00EE5ED4">
      <w:pPr>
        <w:pStyle w:val="NoSpacing"/>
        <w:ind w:left="360"/>
      </w:pPr>
      <w:r w:rsidRPr="00AC4AD6">
        <w:t xml:space="preserve">Inputs to the valuation methodology include: </w:t>
      </w:r>
    </w:p>
    <w:p w:rsidR="00285FD8" w:rsidRPr="00AC4AD6" w:rsidRDefault="00285FD8" w:rsidP="00EE5ED4">
      <w:pPr>
        <w:pStyle w:val="NoSpacing"/>
        <w:numPr>
          <w:ilvl w:val="0"/>
          <w:numId w:val="1"/>
        </w:numPr>
        <w:spacing w:after="0"/>
        <w:ind w:left="1080"/>
      </w:pPr>
      <w:r w:rsidRPr="00AC4AD6">
        <w:t xml:space="preserve">quoted prices for similar assets or liabilities in active markets; </w:t>
      </w:r>
    </w:p>
    <w:p w:rsidR="00285FD8" w:rsidRPr="00AC4AD6" w:rsidRDefault="00285FD8" w:rsidP="00EE5ED4">
      <w:pPr>
        <w:pStyle w:val="NoSpacing"/>
        <w:numPr>
          <w:ilvl w:val="0"/>
          <w:numId w:val="1"/>
        </w:numPr>
        <w:spacing w:after="0"/>
        <w:ind w:left="1080"/>
      </w:pPr>
      <w:r w:rsidRPr="00AC4AD6">
        <w:t xml:space="preserve">quoted prices for identical or similar assets or liabilities in inactive markets; </w:t>
      </w:r>
    </w:p>
    <w:p w:rsidR="00285FD8" w:rsidRPr="00AC4AD6" w:rsidRDefault="00285FD8" w:rsidP="00EE5ED4">
      <w:pPr>
        <w:pStyle w:val="NoSpacing"/>
        <w:numPr>
          <w:ilvl w:val="0"/>
          <w:numId w:val="1"/>
        </w:numPr>
        <w:spacing w:after="0"/>
        <w:ind w:left="1080"/>
      </w:pPr>
      <w:r w:rsidRPr="00AC4AD6">
        <w:t>inputs other than quoted prices that are observable for the asset or liability; and</w:t>
      </w:r>
    </w:p>
    <w:p w:rsidR="00285FD8" w:rsidRPr="00AC4AD6" w:rsidRDefault="00285FD8" w:rsidP="00EE5ED4">
      <w:pPr>
        <w:pStyle w:val="NoSpacing"/>
        <w:numPr>
          <w:ilvl w:val="0"/>
          <w:numId w:val="1"/>
        </w:numPr>
        <w:spacing w:after="0"/>
        <w:ind w:left="1080"/>
      </w:pPr>
      <w:r w:rsidRPr="00AC4AD6">
        <w:t>inputs that are derived principally from or corroborated by observable market data by correlation or other means.</w:t>
      </w:r>
    </w:p>
    <w:p w:rsidR="00285FD8" w:rsidRPr="00AC4AD6" w:rsidRDefault="00285FD8" w:rsidP="00EE5ED4">
      <w:pPr>
        <w:pStyle w:val="NoSpacing"/>
        <w:ind w:left="360"/>
      </w:pPr>
    </w:p>
    <w:p w:rsidR="00285FD8" w:rsidRPr="00AC4AD6" w:rsidRDefault="00285FD8" w:rsidP="00EE5ED4">
      <w:pPr>
        <w:pStyle w:val="NoSpacing"/>
        <w:ind w:left="360"/>
      </w:pPr>
      <w:r w:rsidRPr="00AC4AD6">
        <w:t>If the asset or liability has a specified (contractual) term, the level 2 input must be observable for substantially the full term of the asset or liability.</w:t>
      </w:r>
    </w:p>
    <w:p w:rsidR="00285FD8" w:rsidRPr="00996EB2" w:rsidRDefault="00285FD8" w:rsidP="00EE5ED4">
      <w:pPr>
        <w:pStyle w:val="Heading4"/>
        <w:ind w:left="360"/>
      </w:pPr>
      <w:bookmarkStart w:id="57" w:name="_Toc415727711"/>
      <w:r w:rsidRPr="00996EB2">
        <w:t>Level 3</w:t>
      </w:r>
      <w:bookmarkEnd w:id="57"/>
    </w:p>
    <w:p w:rsidR="00285FD8" w:rsidRPr="00AC4AD6" w:rsidRDefault="00285FD8" w:rsidP="00EE5ED4">
      <w:pPr>
        <w:pStyle w:val="NoSpacing"/>
        <w:ind w:left="360"/>
      </w:pPr>
      <w:r w:rsidRPr="00AC4AD6">
        <w:t>Inputs to the valuation methodology are unobservable and significant to the fair value measurement.</w:t>
      </w:r>
    </w:p>
    <w:p w:rsidR="00285FD8" w:rsidRDefault="00285FD8" w:rsidP="00376A2B">
      <w:pPr>
        <w:pStyle w:val="NoSpacing"/>
      </w:pPr>
      <w:r w:rsidRPr="00AC4AD6">
        <w:t>The asset or liability's fair value measurement level within the fair value hierarchy is based on the lowest level of any input that is significant to the fair value measurement. Valuation techniques used need to maximize the use of observable inputs and minimize the use of unobservable inputs.</w:t>
      </w:r>
    </w:p>
    <w:p w:rsidR="00285FD8" w:rsidRDefault="00285FD8" w:rsidP="00376A2B">
      <w:pPr>
        <w:pStyle w:val="NoSpacing"/>
      </w:pPr>
      <w:r>
        <w:t>The following is a description of the valuation metho</w:t>
      </w:r>
      <w:r w:rsidR="0015756E">
        <w:t>dologies used for assets and liabilities measured at fair value:</w:t>
      </w:r>
    </w:p>
    <w:p w:rsidR="0015756E" w:rsidRDefault="0015756E" w:rsidP="00376A2B">
      <w:pPr>
        <w:pStyle w:val="NoSpacing"/>
        <w:rPr>
          <w:i/>
        </w:rPr>
      </w:pPr>
      <w:r>
        <w:rPr>
          <w:i/>
        </w:rPr>
        <w:t xml:space="preserve">Accrued annuity benefit: </w:t>
      </w:r>
      <w:r w:rsidRPr="0015756E">
        <w:t>Valued at the present value of expected future cash payments discounted using the interest rates at the time of the gift and actuarial assumptions.</w:t>
      </w:r>
    </w:p>
    <w:p w:rsidR="0015756E" w:rsidRDefault="0015756E" w:rsidP="00376A2B">
      <w:pPr>
        <w:pStyle w:val="NoSpacing"/>
      </w:pPr>
      <w:r>
        <w:rPr>
          <w:i/>
        </w:rPr>
        <w:t xml:space="preserve">Alternative investments: </w:t>
      </w:r>
      <w:r>
        <w:t>Valued using the equity method of accounting.</w:t>
      </w:r>
    </w:p>
    <w:p w:rsidR="00EE5ED4" w:rsidRPr="00EE5ED4" w:rsidRDefault="00EE5ED4" w:rsidP="00376A2B">
      <w:pPr>
        <w:pStyle w:val="NoSpacing"/>
      </w:pPr>
      <w:r>
        <w:rPr>
          <w:i/>
        </w:rPr>
        <w:t xml:space="preserve">Mutual funds: </w:t>
      </w:r>
      <w:r>
        <w:t>Valued at quoted prices for identical assets in active markets.</w:t>
      </w:r>
    </w:p>
    <w:p w:rsidR="0015756E" w:rsidRDefault="0015756E" w:rsidP="00376A2B">
      <w:pPr>
        <w:pStyle w:val="NoSpacing"/>
      </w:pPr>
      <w:r>
        <w:rPr>
          <w:i/>
        </w:rPr>
        <w:t>Corpora</w:t>
      </w:r>
      <w:r w:rsidR="00EE5ED4">
        <w:rPr>
          <w:i/>
        </w:rPr>
        <w:t xml:space="preserve">te bonds and government securities: </w:t>
      </w:r>
      <w:r>
        <w:t xml:space="preserve">Valued at quoted prices for </w:t>
      </w:r>
      <w:r w:rsidR="00EE5ED4">
        <w:t>similar</w:t>
      </w:r>
      <w:r>
        <w:t xml:space="preserve"> assets in active markets.</w:t>
      </w:r>
    </w:p>
    <w:p w:rsidR="0015756E" w:rsidRDefault="0015756E" w:rsidP="00376A2B">
      <w:pPr>
        <w:pStyle w:val="NoSpacing"/>
      </w:pPr>
      <w:r>
        <w:rPr>
          <w:i/>
        </w:rPr>
        <w:t xml:space="preserve">Investments in life insurance: </w:t>
      </w:r>
      <w:r>
        <w:t>Valued at accumulated value, net of surrender charges.</w:t>
      </w:r>
    </w:p>
    <w:p w:rsidR="0015756E" w:rsidRDefault="0015756E" w:rsidP="00376A2B">
      <w:pPr>
        <w:pStyle w:val="NoSpacing"/>
      </w:pPr>
      <w:r>
        <w:rPr>
          <w:i/>
        </w:rPr>
        <w:t xml:space="preserve">Money market funds: </w:t>
      </w:r>
      <w:r>
        <w:t>Valued at quoted prices for similar assets in active markets.</w:t>
      </w:r>
    </w:p>
    <w:p w:rsidR="0015756E" w:rsidRDefault="001636DC" w:rsidP="00376A2B">
      <w:pPr>
        <w:pStyle w:val="NoSpacing"/>
      </w:pPr>
      <w:r>
        <w:t>The preceding methods described may produce a fair value calculation that may not be indicative of net realizable value or reflective of future fair values. Furthermore, although the Federation's management believes its valuation methods are appropriate and consistent with other market participants, the use of different methodologies or assumptions to determine the fair value of certain financial instruments could result in a different fair value measurement at the reporting date.</w:t>
      </w:r>
    </w:p>
    <w:p w:rsidR="001636DC" w:rsidRDefault="001636DC" w:rsidP="00376A2B">
      <w:pPr>
        <w:pStyle w:val="NoSpacing"/>
      </w:pPr>
      <w:r>
        <w:t>There have been no changes in the methodo</w:t>
      </w:r>
      <w:r w:rsidR="00EE5ED4">
        <w:t>logies used at December 31, 2015</w:t>
      </w:r>
      <w:r>
        <w:t xml:space="preserve">. Such information is the responsibility of management and was derived from and relates directly to the underlying accounting and other records used to prepare the </w:t>
      </w:r>
      <w:r w:rsidR="00931D23">
        <w:t xml:space="preserve">consolidated </w:t>
      </w:r>
      <w:r>
        <w:t>financial statements.</w:t>
      </w:r>
    </w:p>
    <w:p w:rsidR="001636DC" w:rsidRDefault="001636DC" w:rsidP="00376A2B">
      <w:pPr>
        <w:pStyle w:val="NoSpacing"/>
      </w:pPr>
      <w:r>
        <w:t>The following table sets forth by level, within the fair value hierarchy, the Federation's assets and liabilities at</w:t>
      </w:r>
      <w:r w:rsidR="009B105A">
        <w:t xml:space="preserve"> fair value at December 31, 2015</w:t>
      </w:r>
      <w:r>
        <w:t>:</w:t>
      </w:r>
    </w:p>
    <w:tbl>
      <w:tblPr>
        <w:tblStyle w:val="TableGrid"/>
        <w:tblW w:w="0" w:type="auto"/>
        <w:tblLook w:val="04A0" w:firstRow="1" w:lastRow="0" w:firstColumn="1" w:lastColumn="0" w:noHBand="0" w:noVBand="1"/>
      </w:tblPr>
      <w:tblGrid>
        <w:gridCol w:w="3190"/>
        <w:gridCol w:w="1616"/>
        <w:gridCol w:w="1476"/>
        <w:gridCol w:w="1678"/>
        <w:gridCol w:w="1616"/>
      </w:tblGrid>
      <w:tr w:rsidR="001636DC" w:rsidTr="00203B87">
        <w:trPr>
          <w:trHeight w:val="422"/>
          <w:tblHeader/>
        </w:trPr>
        <w:tc>
          <w:tcPr>
            <w:tcW w:w="3190" w:type="dxa"/>
            <w:vAlign w:val="center"/>
          </w:tcPr>
          <w:p w:rsidR="001636DC" w:rsidRPr="004B70C4" w:rsidRDefault="001636DC" w:rsidP="00376A2B">
            <w:pPr>
              <w:pStyle w:val="NoSpacing"/>
              <w:spacing w:after="0"/>
              <w:jc w:val="center"/>
              <w:rPr>
                <w:b/>
              </w:rPr>
            </w:pPr>
            <w:r w:rsidRPr="004B70C4">
              <w:rPr>
                <w:b/>
              </w:rPr>
              <w:t>Payor Class</w:t>
            </w:r>
          </w:p>
        </w:tc>
        <w:tc>
          <w:tcPr>
            <w:tcW w:w="1616" w:type="dxa"/>
            <w:vAlign w:val="center"/>
          </w:tcPr>
          <w:p w:rsidR="001636DC" w:rsidRPr="004B70C4" w:rsidRDefault="001636DC" w:rsidP="00376A2B">
            <w:pPr>
              <w:pStyle w:val="NoSpacing"/>
              <w:spacing w:after="0"/>
              <w:jc w:val="center"/>
              <w:rPr>
                <w:b/>
              </w:rPr>
            </w:pPr>
            <w:r w:rsidRPr="004B70C4">
              <w:rPr>
                <w:b/>
              </w:rPr>
              <w:t>Level 1</w:t>
            </w:r>
          </w:p>
        </w:tc>
        <w:tc>
          <w:tcPr>
            <w:tcW w:w="1476" w:type="dxa"/>
            <w:vAlign w:val="center"/>
          </w:tcPr>
          <w:p w:rsidR="001636DC" w:rsidRPr="004B70C4" w:rsidRDefault="001636DC" w:rsidP="00376A2B">
            <w:pPr>
              <w:pStyle w:val="NoSpacing"/>
              <w:spacing w:after="0"/>
              <w:jc w:val="center"/>
              <w:rPr>
                <w:b/>
              </w:rPr>
            </w:pPr>
            <w:r w:rsidRPr="004B70C4">
              <w:rPr>
                <w:b/>
              </w:rPr>
              <w:t>Level 2</w:t>
            </w:r>
          </w:p>
        </w:tc>
        <w:tc>
          <w:tcPr>
            <w:tcW w:w="1678" w:type="dxa"/>
            <w:vAlign w:val="center"/>
          </w:tcPr>
          <w:p w:rsidR="001636DC" w:rsidRPr="004B70C4" w:rsidRDefault="001636DC" w:rsidP="00376A2B">
            <w:pPr>
              <w:pStyle w:val="NoSpacing"/>
              <w:spacing w:after="0"/>
              <w:jc w:val="center"/>
              <w:rPr>
                <w:b/>
              </w:rPr>
            </w:pPr>
            <w:r w:rsidRPr="004B70C4">
              <w:rPr>
                <w:b/>
              </w:rPr>
              <w:t>Level 3</w:t>
            </w:r>
          </w:p>
        </w:tc>
        <w:tc>
          <w:tcPr>
            <w:tcW w:w="1616" w:type="dxa"/>
            <w:vAlign w:val="center"/>
          </w:tcPr>
          <w:p w:rsidR="001636DC" w:rsidRPr="004B70C4" w:rsidRDefault="001636DC" w:rsidP="00376A2B">
            <w:pPr>
              <w:pStyle w:val="NoSpacing"/>
              <w:spacing w:after="0"/>
              <w:jc w:val="center"/>
              <w:rPr>
                <w:b/>
              </w:rPr>
            </w:pPr>
            <w:r w:rsidRPr="004B70C4">
              <w:rPr>
                <w:b/>
              </w:rPr>
              <w:t>Fair Value</w:t>
            </w:r>
          </w:p>
        </w:tc>
      </w:tr>
      <w:tr w:rsidR="001636DC" w:rsidTr="005F16AA">
        <w:trPr>
          <w:cantSplit/>
          <w:trHeight w:val="359"/>
        </w:trPr>
        <w:tc>
          <w:tcPr>
            <w:tcW w:w="9576" w:type="dxa"/>
            <w:gridSpan w:val="5"/>
          </w:tcPr>
          <w:p w:rsidR="001636DC" w:rsidRDefault="001636DC" w:rsidP="00376A2B">
            <w:pPr>
              <w:pStyle w:val="NoSpacing"/>
              <w:spacing w:after="0"/>
            </w:pPr>
            <w:r w:rsidRPr="001636DC">
              <w:rPr>
                <w:u w:val="single"/>
              </w:rPr>
              <w:t>Assets</w:t>
            </w:r>
            <w:r>
              <w:t>:</w:t>
            </w:r>
          </w:p>
        </w:tc>
      </w:tr>
      <w:tr w:rsidR="001636DC" w:rsidTr="005F16AA">
        <w:trPr>
          <w:cantSplit/>
          <w:trHeight w:val="377"/>
        </w:trPr>
        <w:tc>
          <w:tcPr>
            <w:tcW w:w="3190" w:type="dxa"/>
            <w:vAlign w:val="bottom"/>
          </w:tcPr>
          <w:p w:rsidR="001636DC" w:rsidRDefault="001636DC" w:rsidP="00376A2B">
            <w:pPr>
              <w:pStyle w:val="NoSpacing"/>
              <w:spacing w:after="0"/>
            </w:pPr>
            <w:r>
              <w:t>Corporate bonds</w:t>
            </w:r>
          </w:p>
        </w:tc>
        <w:tc>
          <w:tcPr>
            <w:tcW w:w="1616" w:type="dxa"/>
            <w:vAlign w:val="bottom"/>
          </w:tcPr>
          <w:p w:rsidR="001636DC" w:rsidRDefault="009B105A" w:rsidP="00376A2B">
            <w:pPr>
              <w:pStyle w:val="NoSpacing"/>
              <w:spacing w:after="0"/>
              <w:jc w:val="center"/>
            </w:pPr>
            <w:r>
              <w:t>$--</w:t>
            </w:r>
          </w:p>
        </w:tc>
        <w:tc>
          <w:tcPr>
            <w:tcW w:w="1476" w:type="dxa"/>
            <w:vAlign w:val="bottom"/>
          </w:tcPr>
          <w:p w:rsidR="001636DC" w:rsidRDefault="009B105A" w:rsidP="00376A2B">
            <w:pPr>
              <w:pStyle w:val="NoSpacing"/>
              <w:spacing w:after="0"/>
              <w:jc w:val="center"/>
            </w:pPr>
            <w:r>
              <w:t>$920,786</w:t>
            </w:r>
          </w:p>
        </w:tc>
        <w:tc>
          <w:tcPr>
            <w:tcW w:w="1678" w:type="dxa"/>
            <w:vAlign w:val="bottom"/>
          </w:tcPr>
          <w:p w:rsidR="001636DC" w:rsidRDefault="001636DC" w:rsidP="00376A2B">
            <w:pPr>
              <w:pStyle w:val="NoSpacing"/>
              <w:spacing w:after="0"/>
              <w:jc w:val="center"/>
            </w:pPr>
            <w:r>
              <w:t>$--</w:t>
            </w:r>
          </w:p>
        </w:tc>
        <w:tc>
          <w:tcPr>
            <w:tcW w:w="1616" w:type="dxa"/>
            <w:vAlign w:val="bottom"/>
          </w:tcPr>
          <w:p w:rsidR="001636DC" w:rsidRDefault="009B105A" w:rsidP="00376A2B">
            <w:pPr>
              <w:pStyle w:val="NoSpacing"/>
              <w:spacing w:after="0"/>
              <w:jc w:val="center"/>
            </w:pPr>
            <w:r>
              <w:t>$920,786</w:t>
            </w:r>
          </w:p>
        </w:tc>
      </w:tr>
      <w:tr w:rsidR="001636DC" w:rsidTr="005F16AA">
        <w:trPr>
          <w:cantSplit/>
          <w:trHeight w:val="368"/>
        </w:trPr>
        <w:tc>
          <w:tcPr>
            <w:tcW w:w="3190" w:type="dxa"/>
            <w:vAlign w:val="bottom"/>
          </w:tcPr>
          <w:p w:rsidR="001636DC" w:rsidRDefault="001636DC" w:rsidP="00376A2B">
            <w:pPr>
              <w:pStyle w:val="NoSpacing"/>
              <w:spacing w:after="0"/>
            </w:pPr>
            <w:r>
              <w:t>Government securities</w:t>
            </w:r>
          </w:p>
        </w:tc>
        <w:tc>
          <w:tcPr>
            <w:tcW w:w="1616" w:type="dxa"/>
            <w:vAlign w:val="bottom"/>
          </w:tcPr>
          <w:p w:rsidR="001636DC" w:rsidRDefault="009B105A" w:rsidP="00376A2B">
            <w:pPr>
              <w:pStyle w:val="NoSpacing"/>
              <w:spacing w:after="0"/>
              <w:jc w:val="center"/>
            </w:pPr>
            <w:r>
              <w:t>--</w:t>
            </w:r>
          </w:p>
        </w:tc>
        <w:tc>
          <w:tcPr>
            <w:tcW w:w="1476" w:type="dxa"/>
            <w:vAlign w:val="bottom"/>
          </w:tcPr>
          <w:p w:rsidR="001636DC" w:rsidRDefault="009B105A" w:rsidP="00376A2B">
            <w:pPr>
              <w:pStyle w:val="NoSpacing"/>
              <w:spacing w:after="0"/>
              <w:jc w:val="center"/>
            </w:pPr>
            <w:r>
              <w:t>186,543</w:t>
            </w:r>
          </w:p>
        </w:tc>
        <w:tc>
          <w:tcPr>
            <w:tcW w:w="1678" w:type="dxa"/>
            <w:vAlign w:val="bottom"/>
          </w:tcPr>
          <w:p w:rsidR="001636DC" w:rsidRDefault="001636DC" w:rsidP="00376A2B">
            <w:pPr>
              <w:pStyle w:val="NoSpacing"/>
              <w:spacing w:after="0"/>
              <w:jc w:val="center"/>
            </w:pPr>
            <w:r>
              <w:t>--</w:t>
            </w:r>
          </w:p>
        </w:tc>
        <w:tc>
          <w:tcPr>
            <w:tcW w:w="1616" w:type="dxa"/>
            <w:vAlign w:val="bottom"/>
          </w:tcPr>
          <w:p w:rsidR="001636DC" w:rsidRDefault="009B105A" w:rsidP="00376A2B">
            <w:pPr>
              <w:pStyle w:val="NoSpacing"/>
              <w:spacing w:after="0"/>
              <w:jc w:val="center"/>
            </w:pPr>
            <w:r>
              <w:t>186,543</w:t>
            </w:r>
          </w:p>
        </w:tc>
      </w:tr>
      <w:tr w:rsidR="001636DC" w:rsidTr="005F16AA">
        <w:trPr>
          <w:cantSplit/>
          <w:trHeight w:val="332"/>
        </w:trPr>
        <w:tc>
          <w:tcPr>
            <w:tcW w:w="3190" w:type="dxa"/>
            <w:vAlign w:val="bottom"/>
          </w:tcPr>
          <w:p w:rsidR="001636DC" w:rsidRDefault="001636DC" w:rsidP="00376A2B">
            <w:pPr>
              <w:pStyle w:val="NoSpacing"/>
              <w:spacing w:after="0"/>
            </w:pPr>
            <w:r>
              <w:t>Money market funds</w:t>
            </w:r>
          </w:p>
        </w:tc>
        <w:tc>
          <w:tcPr>
            <w:tcW w:w="1616" w:type="dxa"/>
            <w:vAlign w:val="bottom"/>
          </w:tcPr>
          <w:p w:rsidR="001636DC" w:rsidRDefault="001636DC" w:rsidP="00376A2B">
            <w:pPr>
              <w:pStyle w:val="NoSpacing"/>
              <w:spacing w:after="0"/>
              <w:jc w:val="center"/>
            </w:pPr>
            <w:r>
              <w:t>--</w:t>
            </w:r>
          </w:p>
        </w:tc>
        <w:tc>
          <w:tcPr>
            <w:tcW w:w="1476" w:type="dxa"/>
            <w:vAlign w:val="bottom"/>
          </w:tcPr>
          <w:p w:rsidR="001636DC" w:rsidRDefault="009B105A" w:rsidP="00376A2B">
            <w:pPr>
              <w:pStyle w:val="NoSpacing"/>
              <w:spacing w:after="0"/>
              <w:jc w:val="center"/>
            </w:pPr>
            <w:r>
              <w:t>747,312</w:t>
            </w:r>
          </w:p>
        </w:tc>
        <w:tc>
          <w:tcPr>
            <w:tcW w:w="1678" w:type="dxa"/>
            <w:vAlign w:val="bottom"/>
          </w:tcPr>
          <w:p w:rsidR="001636DC" w:rsidRDefault="001636DC" w:rsidP="00376A2B">
            <w:pPr>
              <w:pStyle w:val="NoSpacing"/>
              <w:spacing w:after="0"/>
              <w:jc w:val="center"/>
            </w:pPr>
            <w:r>
              <w:t>--</w:t>
            </w:r>
          </w:p>
        </w:tc>
        <w:tc>
          <w:tcPr>
            <w:tcW w:w="1616" w:type="dxa"/>
            <w:vAlign w:val="bottom"/>
          </w:tcPr>
          <w:p w:rsidR="001636DC" w:rsidRDefault="009B105A" w:rsidP="00376A2B">
            <w:pPr>
              <w:pStyle w:val="NoSpacing"/>
              <w:spacing w:after="0"/>
              <w:jc w:val="center"/>
            </w:pPr>
            <w:r>
              <w:t>747,312</w:t>
            </w:r>
          </w:p>
        </w:tc>
      </w:tr>
      <w:tr w:rsidR="001636DC" w:rsidTr="005F16AA">
        <w:trPr>
          <w:cantSplit/>
          <w:trHeight w:val="359"/>
        </w:trPr>
        <w:tc>
          <w:tcPr>
            <w:tcW w:w="3190" w:type="dxa"/>
            <w:vAlign w:val="bottom"/>
          </w:tcPr>
          <w:p w:rsidR="001636DC" w:rsidRDefault="001636DC" w:rsidP="00376A2B">
            <w:pPr>
              <w:pStyle w:val="NoSpacing"/>
              <w:spacing w:after="0"/>
            </w:pPr>
            <w:r>
              <w:t>Mutual funds</w:t>
            </w:r>
          </w:p>
        </w:tc>
        <w:tc>
          <w:tcPr>
            <w:tcW w:w="1616" w:type="dxa"/>
            <w:vAlign w:val="bottom"/>
          </w:tcPr>
          <w:p w:rsidR="001636DC" w:rsidRDefault="009B105A" w:rsidP="00376A2B">
            <w:pPr>
              <w:pStyle w:val="NoSpacing"/>
              <w:spacing w:after="0"/>
              <w:jc w:val="center"/>
            </w:pPr>
            <w:r>
              <w:t>12,219,749</w:t>
            </w:r>
          </w:p>
        </w:tc>
        <w:tc>
          <w:tcPr>
            <w:tcW w:w="1476" w:type="dxa"/>
            <w:vAlign w:val="bottom"/>
          </w:tcPr>
          <w:p w:rsidR="001636DC" w:rsidRDefault="001636DC" w:rsidP="00376A2B">
            <w:pPr>
              <w:pStyle w:val="NoSpacing"/>
              <w:spacing w:after="0"/>
              <w:jc w:val="center"/>
            </w:pPr>
            <w:r>
              <w:t>--</w:t>
            </w:r>
          </w:p>
        </w:tc>
        <w:tc>
          <w:tcPr>
            <w:tcW w:w="1678" w:type="dxa"/>
            <w:vAlign w:val="bottom"/>
          </w:tcPr>
          <w:p w:rsidR="001636DC" w:rsidRDefault="001636DC" w:rsidP="00376A2B">
            <w:pPr>
              <w:pStyle w:val="NoSpacing"/>
              <w:spacing w:after="0"/>
              <w:jc w:val="center"/>
            </w:pPr>
            <w:r>
              <w:t>--</w:t>
            </w:r>
          </w:p>
        </w:tc>
        <w:tc>
          <w:tcPr>
            <w:tcW w:w="1616" w:type="dxa"/>
            <w:vAlign w:val="bottom"/>
          </w:tcPr>
          <w:p w:rsidR="001636DC" w:rsidRDefault="009B105A" w:rsidP="00376A2B">
            <w:pPr>
              <w:pStyle w:val="NoSpacing"/>
              <w:spacing w:after="0"/>
              <w:jc w:val="center"/>
            </w:pPr>
            <w:r>
              <w:t>12,219,749</w:t>
            </w:r>
          </w:p>
        </w:tc>
      </w:tr>
      <w:tr w:rsidR="001636DC" w:rsidTr="005F16AA">
        <w:trPr>
          <w:cantSplit/>
          <w:trHeight w:val="350"/>
        </w:trPr>
        <w:tc>
          <w:tcPr>
            <w:tcW w:w="3190" w:type="dxa"/>
            <w:vAlign w:val="bottom"/>
          </w:tcPr>
          <w:p w:rsidR="001636DC" w:rsidRDefault="001636DC" w:rsidP="00376A2B">
            <w:pPr>
              <w:pStyle w:val="NoSpacing"/>
              <w:spacing w:after="0"/>
            </w:pPr>
            <w:r>
              <w:t>Alternative investments</w:t>
            </w:r>
          </w:p>
        </w:tc>
        <w:tc>
          <w:tcPr>
            <w:tcW w:w="1616" w:type="dxa"/>
            <w:vAlign w:val="bottom"/>
          </w:tcPr>
          <w:p w:rsidR="001636DC" w:rsidRPr="004B70C4" w:rsidRDefault="001636DC" w:rsidP="00376A2B">
            <w:pPr>
              <w:pStyle w:val="NoSpacing"/>
              <w:spacing w:after="0"/>
              <w:jc w:val="center"/>
              <w:rPr>
                <w:u w:val="single"/>
              </w:rPr>
            </w:pPr>
            <w:r w:rsidRPr="004B70C4">
              <w:rPr>
                <w:u w:val="single"/>
              </w:rPr>
              <w:t>--</w:t>
            </w:r>
          </w:p>
        </w:tc>
        <w:tc>
          <w:tcPr>
            <w:tcW w:w="1476" w:type="dxa"/>
            <w:vAlign w:val="bottom"/>
          </w:tcPr>
          <w:p w:rsidR="001636DC" w:rsidRPr="004B70C4" w:rsidRDefault="001636DC" w:rsidP="00376A2B">
            <w:pPr>
              <w:pStyle w:val="NoSpacing"/>
              <w:spacing w:after="0"/>
              <w:jc w:val="center"/>
              <w:rPr>
                <w:u w:val="single"/>
              </w:rPr>
            </w:pPr>
            <w:r w:rsidRPr="004B70C4">
              <w:rPr>
                <w:u w:val="single"/>
              </w:rPr>
              <w:t>--</w:t>
            </w:r>
          </w:p>
        </w:tc>
        <w:tc>
          <w:tcPr>
            <w:tcW w:w="1678" w:type="dxa"/>
            <w:vAlign w:val="bottom"/>
          </w:tcPr>
          <w:p w:rsidR="001636DC" w:rsidRPr="004B70C4" w:rsidRDefault="009B105A" w:rsidP="00376A2B">
            <w:pPr>
              <w:pStyle w:val="NoSpacing"/>
              <w:spacing w:after="0"/>
              <w:jc w:val="center"/>
              <w:rPr>
                <w:u w:val="single"/>
              </w:rPr>
            </w:pPr>
            <w:r>
              <w:rPr>
                <w:u w:val="single"/>
              </w:rPr>
              <w:t>200,449</w:t>
            </w:r>
          </w:p>
        </w:tc>
        <w:tc>
          <w:tcPr>
            <w:tcW w:w="1616" w:type="dxa"/>
            <w:vAlign w:val="bottom"/>
          </w:tcPr>
          <w:p w:rsidR="001636DC" w:rsidRPr="004B70C4" w:rsidRDefault="009B105A" w:rsidP="00376A2B">
            <w:pPr>
              <w:pStyle w:val="NoSpacing"/>
              <w:spacing w:after="0"/>
              <w:jc w:val="center"/>
              <w:rPr>
                <w:u w:val="single"/>
              </w:rPr>
            </w:pPr>
            <w:r>
              <w:rPr>
                <w:u w:val="single"/>
              </w:rPr>
              <w:t>200,449</w:t>
            </w:r>
          </w:p>
        </w:tc>
      </w:tr>
      <w:tr w:rsidR="001636DC" w:rsidTr="005F16AA">
        <w:trPr>
          <w:cantSplit/>
          <w:trHeight w:val="359"/>
        </w:trPr>
        <w:tc>
          <w:tcPr>
            <w:tcW w:w="3190" w:type="dxa"/>
            <w:vAlign w:val="bottom"/>
          </w:tcPr>
          <w:p w:rsidR="001636DC" w:rsidRDefault="001636DC" w:rsidP="00376A2B">
            <w:pPr>
              <w:pStyle w:val="NoSpacing"/>
              <w:spacing w:after="0"/>
              <w:ind w:firstLine="360"/>
            </w:pPr>
            <w:r>
              <w:t>Investments subtotal</w:t>
            </w:r>
          </w:p>
        </w:tc>
        <w:tc>
          <w:tcPr>
            <w:tcW w:w="1616" w:type="dxa"/>
            <w:vAlign w:val="bottom"/>
          </w:tcPr>
          <w:p w:rsidR="001636DC" w:rsidRDefault="009B105A" w:rsidP="00376A2B">
            <w:pPr>
              <w:pStyle w:val="NoSpacing"/>
              <w:spacing w:after="0"/>
              <w:jc w:val="center"/>
            </w:pPr>
            <w:r>
              <w:t>12,219,749</w:t>
            </w:r>
          </w:p>
        </w:tc>
        <w:tc>
          <w:tcPr>
            <w:tcW w:w="1476" w:type="dxa"/>
            <w:vAlign w:val="bottom"/>
          </w:tcPr>
          <w:p w:rsidR="001636DC" w:rsidRDefault="009B105A" w:rsidP="00376A2B">
            <w:pPr>
              <w:pStyle w:val="NoSpacing"/>
              <w:spacing w:after="0"/>
              <w:jc w:val="center"/>
            </w:pPr>
            <w:r>
              <w:t>1,854,641</w:t>
            </w:r>
          </w:p>
        </w:tc>
        <w:tc>
          <w:tcPr>
            <w:tcW w:w="1678" w:type="dxa"/>
            <w:vAlign w:val="bottom"/>
          </w:tcPr>
          <w:p w:rsidR="001636DC" w:rsidRDefault="009B105A" w:rsidP="00376A2B">
            <w:pPr>
              <w:pStyle w:val="NoSpacing"/>
              <w:spacing w:after="0"/>
              <w:jc w:val="center"/>
            </w:pPr>
            <w:r>
              <w:t>200,449</w:t>
            </w:r>
          </w:p>
        </w:tc>
        <w:tc>
          <w:tcPr>
            <w:tcW w:w="1616" w:type="dxa"/>
            <w:vAlign w:val="bottom"/>
          </w:tcPr>
          <w:p w:rsidR="001636DC" w:rsidRDefault="009B105A" w:rsidP="00376A2B">
            <w:pPr>
              <w:pStyle w:val="NoSpacing"/>
              <w:spacing w:after="0"/>
              <w:jc w:val="center"/>
            </w:pPr>
            <w:r>
              <w:t>14,274,839</w:t>
            </w:r>
          </w:p>
        </w:tc>
      </w:tr>
      <w:tr w:rsidR="001636DC" w:rsidTr="005F16AA">
        <w:trPr>
          <w:cantSplit/>
        </w:trPr>
        <w:tc>
          <w:tcPr>
            <w:tcW w:w="3190" w:type="dxa"/>
            <w:vAlign w:val="bottom"/>
          </w:tcPr>
          <w:p w:rsidR="001636DC" w:rsidRDefault="001636DC" w:rsidP="00376A2B">
            <w:pPr>
              <w:pStyle w:val="NoSpacing"/>
              <w:spacing w:after="0"/>
            </w:pPr>
            <w:r>
              <w:t>Other investments - life insurance</w:t>
            </w:r>
          </w:p>
        </w:tc>
        <w:tc>
          <w:tcPr>
            <w:tcW w:w="1616" w:type="dxa"/>
            <w:vAlign w:val="bottom"/>
          </w:tcPr>
          <w:p w:rsidR="001636DC" w:rsidRPr="004B70C4" w:rsidRDefault="001636DC" w:rsidP="00376A2B">
            <w:pPr>
              <w:pStyle w:val="NoSpacing"/>
              <w:spacing w:after="0"/>
              <w:jc w:val="center"/>
              <w:rPr>
                <w:u w:val="single"/>
              </w:rPr>
            </w:pPr>
            <w:r w:rsidRPr="004B70C4">
              <w:rPr>
                <w:u w:val="single"/>
              </w:rPr>
              <w:t>--</w:t>
            </w:r>
          </w:p>
        </w:tc>
        <w:tc>
          <w:tcPr>
            <w:tcW w:w="1476" w:type="dxa"/>
            <w:vAlign w:val="bottom"/>
          </w:tcPr>
          <w:p w:rsidR="001636DC" w:rsidRPr="004B70C4" w:rsidRDefault="001636DC" w:rsidP="00376A2B">
            <w:pPr>
              <w:pStyle w:val="NoSpacing"/>
              <w:spacing w:after="0"/>
              <w:jc w:val="center"/>
              <w:rPr>
                <w:u w:val="single"/>
              </w:rPr>
            </w:pPr>
            <w:r w:rsidRPr="004B70C4">
              <w:rPr>
                <w:u w:val="single"/>
              </w:rPr>
              <w:t>--</w:t>
            </w:r>
          </w:p>
        </w:tc>
        <w:tc>
          <w:tcPr>
            <w:tcW w:w="1678" w:type="dxa"/>
            <w:vAlign w:val="bottom"/>
          </w:tcPr>
          <w:p w:rsidR="001636DC" w:rsidRPr="004B70C4" w:rsidRDefault="009B105A" w:rsidP="00376A2B">
            <w:pPr>
              <w:pStyle w:val="NoSpacing"/>
              <w:spacing w:after="0"/>
              <w:jc w:val="center"/>
              <w:rPr>
                <w:u w:val="single"/>
              </w:rPr>
            </w:pPr>
            <w:r>
              <w:rPr>
                <w:u w:val="single"/>
              </w:rPr>
              <w:t>2,271,151</w:t>
            </w:r>
          </w:p>
        </w:tc>
        <w:tc>
          <w:tcPr>
            <w:tcW w:w="1616" w:type="dxa"/>
            <w:vAlign w:val="bottom"/>
          </w:tcPr>
          <w:p w:rsidR="001636DC" w:rsidRPr="004B70C4" w:rsidRDefault="009B105A" w:rsidP="00376A2B">
            <w:pPr>
              <w:pStyle w:val="NoSpacing"/>
              <w:spacing w:after="0"/>
              <w:jc w:val="center"/>
              <w:rPr>
                <w:u w:val="single"/>
              </w:rPr>
            </w:pPr>
            <w:r>
              <w:rPr>
                <w:u w:val="single"/>
              </w:rPr>
              <w:t>2,271,151</w:t>
            </w:r>
          </w:p>
        </w:tc>
      </w:tr>
      <w:tr w:rsidR="001636DC" w:rsidTr="005F16AA">
        <w:trPr>
          <w:cantSplit/>
          <w:trHeight w:val="404"/>
        </w:trPr>
        <w:tc>
          <w:tcPr>
            <w:tcW w:w="3190" w:type="dxa"/>
            <w:vAlign w:val="center"/>
          </w:tcPr>
          <w:p w:rsidR="001636DC" w:rsidRDefault="001636DC" w:rsidP="00376A2B">
            <w:pPr>
              <w:pStyle w:val="NoSpacing"/>
              <w:spacing w:after="0"/>
            </w:pPr>
            <w:r>
              <w:t>Total Assets at Fair Value</w:t>
            </w:r>
          </w:p>
        </w:tc>
        <w:tc>
          <w:tcPr>
            <w:tcW w:w="1616" w:type="dxa"/>
            <w:vAlign w:val="center"/>
          </w:tcPr>
          <w:p w:rsidR="001636DC" w:rsidRPr="004B70C4" w:rsidRDefault="009B105A" w:rsidP="00376A2B">
            <w:pPr>
              <w:pStyle w:val="NoSpacing"/>
              <w:spacing w:after="0"/>
              <w:jc w:val="center"/>
              <w:rPr>
                <w:u w:val="double"/>
              </w:rPr>
            </w:pPr>
            <w:r>
              <w:rPr>
                <w:u w:val="double"/>
              </w:rPr>
              <w:t>$12,219,749</w:t>
            </w:r>
          </w:p>
        </w:tc>
        <w:tc>
          <w:tcPr>
            <w:tcW w:w="1476" w:type="dxa"/>
            <w:vAlign w:val="center"/>
          </w:tcPr>
          <w:p w:rsidR="001636DC" w:rsidRPr="004B70C4" w:rsidRDefault="009B105A" w:rsidP="00376A2B">
            <w:pPr>
              <w:pStyle w:val="NoSpacing"/>
              <w:spacing w:after="0"/>
              <w:jc w:val="center"/>
              <w:rPr>
                <w:u w:val="double"/>
              </w:rPr>
            </w:pPr>
            <w:r>
              <w:rPr>
                <w:u w:val="double"/>
              </w:rPr>
              <w:t>$1,854,641</w:t>
            </w:r>
          </w:p>
        </w:tc>
        <w:tc>
          <w:tcPr>
            <w:tcW w:w="1678" w:type="dxa"/>
            <w:vAlign w:val="center"/>
          </w:tcPr>
          <w:p w:rsidR="001636DC" w:rsidRPr="004B70C4" w:rsidRDefault="009B105A" w:rsidP="00376A2B">
            <w:pPr>
              <w:pStyle w:val="NoSpacing"/>
              <w:spacing w:after="0"/>
              <w:jc w:val="center"/>
              <w:rPr>
                <w:u w:val="double"/>
              </w:rPr>
            </w:pPr>
            <w:r>
              <w:rPr>
                <w:u w:val="double"/>
              </w:rPr>
              <w:t>$2,471,600</w:t>
            </w:r>
          </w:p>
        </w:tc>
        <w:tc>
          <w:tcPr>
            <w:tcW w:w="1616" w:type="dxa"/>
            <w:vAlign w:val="center"/>
          </w:tcPr>
          <w:p w:rsidR="001636DC" w:rsidRPr="004B70C4" w:rsidRDefault="009B105A" w:rsidP="00376A2B">
            <w:pPr>
              <w:pStyle w:val="NoSpacing"/>
              <w:spacing w:after="0"/>
              <w:jc w:val="center"/>
              <w:rPr>
                <w:u w:val="double"/>
              </w:rPr>
            </w:pPr>
            <w:r>
              <w:rPr>
                <w:u w:val="double"/>
              </w:rPr>
              <w:t>$16,545,990</w:t>
            </w:r>
          </w:p>
        </w:tc>
      </w:tr>
      <w:tr w:rsidR="001636DC" w:rsidTr="005F16AA">
        <w:trPr>
          <w:cantSplit/>
          <w:trHeight w:val="449"/>
        </w:trPr>
        <w:tc>
          <w:tcPr>
            <w:tcW w:w="9576" w:type="dxa"/>
            <w:gridSpan w:val="5"/>
            <w:vAlign w:val="center"/>
          </w:tcPr>
          <w:p w:rsidR="001636DC" w:rsidRDefault="001636DC" w:rsidP="00376A2B">
            <w:pPr>
              <w:pStyle w:val="NoSpacing"/>
              <w:spacing w:after="0"/>
            </w:pPr>
            <w:r w:rsidRPr="004A5D13">
              <w:rPr>
                <w:u w:val="single"/>
              </w:rPr>
              <w:t>Liabilities</w:t>
            </w:r>
            <w:r>
              <w:t>:</w:t>
            </w:r>
          </w:p>
        </w:tc>
      </w:tr>
      <w:tr w:rsidR="001636DC" w:rsidTr="005F16AA">
        <w:trPr>
          <w:cantSplit/>
          <w:trHeight w:val="431"/>
        </w:trPr>
        <w:tc>
          <w:tcPr>
            <w:tcW w:w="3190" w:type="dxa"/>
            <w:vAlign w:val="bottom"/>
          </w:tcPr>
          <w:p w:rsidR="001636DC" w:rsidRDefault="001636DC" w:rsidP="00376A2B">
            <w:pPr>
              <w:pStyle w:val="NoSpacing"/>
              <w:spacing w:after="0"/>
            </w:pPr>
            <w:r>
              <w:t>Accrued annuity benefits</w:t>
            </w:r>
          </w:p>
        </w:tc>
        <w:tc>
          <w:tcPr>
            <w:tcW w:w="1616" w:type="dxa"/>
            <w:vAlign w:val="center"/>
          </w:tcPr>
          <w:p w:rsidR="001636DC" w:rsidRPr="004B70C4" w:rsidRDefault="001636DC" w:rsidP="00376A2B">
            <w:pPr>
              <w:pStyle w:val="NoSpacing"/>
              <w:spacing w:after="0"/>
              <w:jc w:val="center"/>
              <w:rPr>
                <w:u w:val="double"/>
              </w:rPr>
            </w:pPr>
            <w:r w:rsidRPr="004B70C4">
              <w:rPr>
                <w:u w:val="double"/>
              </w:rPr>
              <w:t>$--</w:t>
            </w:r>
          </w:p>
        </w:tc>
        <w:tc>
          <w:tcPr>
            <w:tcW w:w="1476" w:type="dxa"/>
            <w:vAlign w:val="center"/>
          </w:tcPr>
          <w:p w:rsidR="001636DC" w:rsidRPr="004B70C4" w:rsidRDefault="001636DC" w:rsidP="00376A2B">
            <w:pPr>
              <w:pStyle w:val="NoSpacing"/>
              <w:spacing w:after="0"/>
              <w:jc w:val="center"/>
              <w:rPr>
                <w:u w:val="double"/>
              </w:rPr>
            </w:pPr>
            <w:r w:rsidRPr="004B70C4">
              <w:rPr>
                <w:u w:val="double"/>
              </w:rPr>
              <w:t>$--</w:t>
            </w:r>
          </w:p>
        </w:tc>
        <w:tc>
          <w:tcPr>
            <w:tcW w:w="1678" w:type="dxa"/>
            <w:vAlign w:val="center"/>
          </w:tcPr>
          <w:p w:rsidR="001636DC" w:rsidRPr="004B70C4" w:rsidRDefault="001636DC" w:rsidP="00376A2B">
            <w:pPr>
              <w:pStyle w:val="NoSpacing"/>
              <w:spacing w:after="0"/>
              <w:jc w:val="center"/>
              <w:rPr>
                <w:u w:val="double"/>
              </w:rPr>
            </w:pPr>
            <w:r w:rsidRPr="004B70C4">
              <w:rPr>
                <w:u w:val="double"/>
              </w:rPr>
              <w:t>$28,156</w:t>
            </w:r>
          </w:p>
        </w:tc>
        <w:tc>
          <w:tcPr>
            <w:tcW w:w="1616" w:type="dxa"/>
            <w:vAlign w:val="center"/>
          </w:tcPr>
          <w:p w:rsidR="001636DC" w:rsidRPr="004B70C4" w:rsidRDefault="001636DC" w:rsidP="00376A2B">
            <w:pPr>
              <w:pStyle w:val="NoSpacing"/>
              <w:spacing w:after="0"/>
              <w:jc w:val="center"/>
              <w:rPr>
                <w:u w:val="double"/>
              </w:rPr>
            </w:pPr>
            <w:r w:rsidRPr="004B70C4">
              <w:rPr>
                <w:u w:val="double"/>
              </w:rPr>
              <w:t>$28,156</w:t>
            </w:r>
          </w:p>
        </w:tc>
      </w:tr>
    </w:tbl>
    <w:p w:rsidR="004B70C4" w:rsidRDefault="004B70C4" w:rsidP="00376A2B">
      <w:pPr>
        <w:pStyle w:val="NoSpacing"/>
        <w:spacing w:before="240"/>
      </w:pPr>
      <w:r>
        <w:t xml:space="preserve">The following table sets forth a summary of changes in the fair value of the Federation's level 3 assets and liabilities for </w:t>
      </w:r>
      <w:r w:rsidR="009B105A">
        <w:t>the year ended December 31, 2015</w:t>
      </w:r>
      <w:r>
        <w:t>:</w:t>
      </w:r>
    </w:p>
    <w:tbl>
      <w:tblPr>
        <w:tblStyle w:val="TableGrid"/>
        <w:tblW w:w="0" w:type="auto"/>
        <w:tblLook w:val="04A0" w:firstRow="1" w:lastRow="0" w:firstColumn="1" w:lastColumn="0" w:noHBand="0" w:noVBand="1"/>
      </w:tblPr>
      <w:tblGrid>
        <w:gridCol w:w="4158"/>
        <w:gridCol w:w="2970"/>
        <w:gridCol w:w="2448"/>
      </w:tblGrid>
      <w:tr w:rsidR="004B70C4" w:rsidTr="00203B87">
        <w:trPr>
          <w:tblHeader/>
        </w:trPr>
        <w:tc>
          <w:tcPr>
            <w:tcW w:w="4158" w:type="dxa"/>
          </w:tcPr>
          <w:p w:rsidR="004B70C4" w:rsidRPr="00203B87" w:rsidRDefault="004B70C4" w:rsidP="00376A2B">
            <w:pPr>
              <w:pStyle w:val="NoSpacing"/>
              <w:spacing w:after="0"/>
              <w:rPr>
                <w:b/>
              </w:rPr>
            </w:pPr>
          </w:p>
        </w:tc>
        <w:tc>
          <w:tcPr>
            <w:tcW w:w="2970" w:type="dxa"/>
            <w:vAlign w:val="center"/>
          </w:tcPr>
          <w:p w:rsidR="004B70C4" w:rsidRPr="00203B87" w:rsidRDefault="00203B87" w:rsidP="00376A2B">
            <w:pPr>
              <w:pStyle w:val="NoSpacing"/>
              <w:spacing w:after="0"/>
              <w:jc w:val="center"/>
              <w:rPr>
                <w:b/>
              </w:rPr>
            </w:pPr>
            <w:r w:rsidRPr="00203B87">
              <w:rPr>
                <w:b/>
              </w:rPr>
              <w:t>Assets</w:t>
            </w:r>
          </w:p>
        </w:tc>
        <w:tc>
          <w:tcPr>
            <w:tcW w:w="2448" w:type="dxa"/>
            <w:vAlign w:val="center"/>
          </w:tcPr>
          <w:p w:rsidR="004B70C4" w:rsidRPr="00203B87" w:rsidRDefault="00203B87" w:rsidP="00376A2B">
            <w:pPr>
              <w:pStyle w:val="NoSpacing"/>
              <w:spacing w:after="0"/>
              <w:jc w:val="center"/>
              <w:rPr>
                <w:b/>
              </w:rPr>
            </w:pPr>
            <w:r w:rsidRPr="00203B87">
              <w:rPr>
                <w:b/>
              </w:rPr>
              <w:t>Liabilities</w:t>
            </w:r>
          </w:p>
        </w:tc>
      </w:tr>
      <w:tr w:rsidR="004B70C4" w:rsidTr="005F16AA">
        <w:trPr>
          <w:cantSplit/>
        </w:trPr>
        <w:tc>
          <w:tcPr>
            <w:tcW w:w="4158" w:type="dxa"/>
          </w:tcPr>
          <w:p w:rsidR="004B70C4" w:rsidRDefault="00203B87" w:rsidP="00376A2B">
            <w:pPr>
              <w:pStyle w:val="NoSpacing"/>
              <w:spacing w:after="0"/>
            </w:pPr>
            <w:r>
              <w:t>Balance - beginning of year</w:t>
            </w:r>
          </w:p>
        </w:tc>
        <w:tc>
          <w:tcPr>
            <w:tcW w:w="2970" w:type="dxa"/>
            <w:vAlign w:val="center"/>
          </w:tcPr>
          <w:p w:rsidR="004B70C4" w:rsidRDefault="009B105A" w:rsidP="00376A2B">
            <w:pPr>
              <w:pStyle w:val="NoSpacing"/>
              <w:spacing w:after="0"/>
              <w:jc w:val="center"/>
            </w:pPr>
            <w:r>
              <w:t>$2,193,188</w:t>
            </w:r>
          </w:p>
        </w:tc>
        <w:tc>
          <w:tcPr>
            <w:tcW w:w="2448" w:type="dxa"/>
            <w:vAlign w:val="center"/>
          </w:tcPr>
          <w:p w:rsidR="004B70C4" w:rsidRDefault="00203B87" w:rsidP="00376A2B">
            <w:pPr>
              <w:pStyle w:val="NoSpacing"/>
              <w:spacing w:after="0"/>
              <w:jc w:val="center"/>
            </w:pPr>
            <w:r>
              <w:t>$28,156</w:t>
            </w:r>
          </w:p>
        </w:tc>
      </w:tr>
      <w:tr w:rsidR="004B70C4" w:rsidTr="005F16AA">
        <w:trPr>
          <w:cantSplit/>
        </w:trPr>
        <w:tc>
          <w:tcPr>
            <w:tcW w:w="4158" w:type="dxa"/>
          </w:tcPr>
          <w:p w:rsidR="004B70C4" w:rsidRDefault="00203B87" w:rsidP="00376A2B">
            <w:pPr>
              <w:pStyle w:val="NoSpacing"/>
              <w:spacing w:after="0"/>
            </w:pPr>
            <w:r>
              <w:t>Increase in cash surrender value</w:t>
            </w:r>
          </w:p>
        </w:tc>
        <w:tc>
          <w:tcPr>
            <w:tcW w:w="2970" w:type="dxa"/>
            <w:vAlign w:val="center"/>
          </w:tcPr>
          <w:p w:rsidR="004B70C4" w:rsidRDefault="009B105A" w:rsidP="00376A2B">
            <w:pPr>
              <w:pStyle w:val="NoSpacing"/>
              <w:spacing w:after="0"/>
              <w:jc w:val="center"/>
            </w:pPr>
            <w:r>
              <w:t>217,001</w:t>
            </w:r>
          </w:p>
        </w:tc>
        <w:tc>
          <w:tcPr>
            <w:tcW w:w="2448" w:type="dxa"/>
            <w:vAlign w:val="center"/>
          </w:tcPr>
          <w:p w:rsidR="004B70C4" w:rsidRDefault="00203B87" w:rsidP="00376A2B">
            <w:pPr>
              <w:pStyle w:val="NoSpacing"/>
              <w:spacing w:after="0"/>
              <w:jc w:val="center"/>
            </w:pPr>
            <w:r>
              <w:t>--</w:t>
            </w:r>
          </w:p>
        </w:tc>
      </w:tr>
      <w:tr w:rsidR="004B70C4" w:rsidTr="005F16AA">
        <w:trPr>
          <w:cantSplit/>
        </w:trPr>
        <w:tc>
          <w:tcPr>
            <w:tcW w:w="4158" w:type="dxa"/>
          </w:tcPr>
          <w:p w:rsidR="004B70C4" w:rsidRDefault="00203B87" w:rsidP="00376A2B">
            <w:pPr>
              <w:pStyle w:val="NoSpacing"/>
              <w:spacing w:after="0"/>
            </w:pPr>
            <w:r>
              <w:t xml:space="preserve">Contributions to </w:t>
            </w:r>
            <w:r w:rsidR="002F3501">
              <w:t xml:space="preserve">programmatic </w:t>
            </w:r>
            <w:r>
              <w:t>investments</w:t>
            </w:r>
          </w:p>
        </w:tc>
        <w:tc>
          <w:tcPr>
            <w:tcW w:w="2970" w:type="dxa"/>
            <w:vAlign w:val="center"/>
          </w:tcPr>
          <w:p w:rsidR="004B70C4" w:rsidRDefault="009B105A" w:rsidP="00376A2B">
            <w:pPr>
              <w:pStyle w:val="NoSpacing"/>
              <w:spacing w:after="0"/>
              <w:jc w:val="center"/>
            </w:pPr>
            <w:r>
              <w:t>172,500</w:t>
            </w:r>
          </w:p>
        </w:tc>
        <w:tc>
          <w:tcPr>
            <w:tcW w:w="2448" w:type="dxa"/>
            <w:vAlign w:val="center"/>
          </w:tcPr>
          <w:p w:rsidR="004B70C4" w:rsidRDefault="00203B87" w:rsidP="00376A2B">
            <w:pPr>
              <w:pStyle w:val="NoSpacing"/>
              <w:spacing w:after="0"/>
              <w:jc w:val="center"/>
            </w:pPr>
            <w:r>
              <w:t>--</w:t>
            </w:r>
          </w:p>
        </w:tc>
      </w:tr>
      <w:tr w:rsidR="004B70C4" w:rsidTr="005F16AA">
        <w:trPr>
          <w:cantSplit/>
        </w:trPr>
        <w:tc>
          <w:tcPr>
            <w:tcW w:w="4158" w:type="dxa"/>
          </w:tcPr>
          <w:p w:rsidR="004B70C4" w:rsidRDefault="009B105A" w:rsidP="00376A2B">
            <w:pPr>
              <w:pStyle w:val="NoSpacing"/>
              <w:spacing w:after="0"/>
            </w:pPr>
            <w:r>
              <w:t>Losses on investments</w:t>
            </w:r>
          </w:p>
        </w:tc>
        <w:tc>
          <w:tcPr>
            <w:tcW w:w="2970" w:type="dxa"/>
            <w:vAlign w:val="center"/>
          </w:tcPr>
          <w:p w:rsidR="004B70C4" w:rsidRPr="00203B87" w:rsidRDefault="009B105A" w:rsidP="00376A2B">
            <w:pPr>
              <w:pStyle w:val="NoSpacing"/>
              <w:spacing w:after="0"/>
              <w:jc w:val="center"/>
              <w:rPr>
                <w:u w:val="single"/>
              </w:rPr>
            </w:pPr>
            <w:r>
              <w:rPr>
                <w:u w:val="single"/>
              </w:rPr>
              <w:t>(111,089)</w:t>
            </w:r>
          </w:p>
        </w:tc>
        <w:tc>
          <w:tcPr>
            <w:tcW w:w="2448" w:type="dxa"/>
            <w:vAlign w:val="center"/>
          </w:tcPr>
          <w:p w:rsidR="004B70C4" w:rsidRPr="00203B87" w:rsidRDefault="00203B87" w:rsidP="00376A2B">
            <w:pPr>
              <w:pStyle w:val="NoSpacing"/>
              <w:spacing w:after="0"/>
              <w:jc w:val="center"/>
              <w:rPr>
                <w:u w:val="single"/>
              </w:rPr>
            </w:pPr>
            <w:r w:rsidRPr="00203B87">
              <w:rPr>
                <w:u w:val="single"/>
              </w:rPr>
              <w:t>--</w:t>
            </w:r>
          </w:p>
        </w:tc>
      </w:tr>
      <w:tr w:rsidR="004B70C4" w:rsidTr="005F16AA">
        <w:trPr>
          <w:cantSplit/>
          <w:trHeight w:val="404"/>
        </w:trPr>
        <w:tc>
          <w:tcPr>
            <w:tcW w:w="4158" w:type="dxa"/>
          </w:tcPr>
          <w:p w:rsidR="004B70C4" w:rsidRDefault="00203B87" w:rsidP="00376A2B">
            <w:pPr>
              <w:pStyle w:val="NoSpacing"/>
              <w:spacing w:after="0"/>
            </w:pPr>
            <w:r>
              <w:t>Balance - end of year</w:t>
            </w:r>
          </w:p>
        </w:tc>
        <w:tc>
          <w:tcPr>
            <w:tcW w:w="2970" w:type="dxa"/>
            <w:vAlign w:val="center"/>
          </w:tcPr>
          <w:p w:rsidR="004B70C4" w:rsidRPr="00203B87" w:rsidRDefault="009B105A" w:rsidP="00376A2B">
            <w:pPr>
              <w:pStyle w:val="NoSpacing"/>
              <w:spacing w:after="0"/>
              <w:jc w:val="center"/>
              <w:rPr>
                <w:u w:val="double"/>
              </w:rPr>
            </w:pPr>
            <w:r>
              <w:rPr>
                <w:u w:val="double"/>
              </w:rPr>
              <w:t>$2,471,600</w:t>
            </w:r>
          </w:p>
        </w:tc>
        <w:tc>
          <w:tcPr>
            <w:tcW w:w="2448" w:type="dxa"/>
            <w:vAlign w:val="center"/>
          </w:tcPr>
          <w:p w:rsidR="004B70C4" w:rsidRPr="00203B87" w:rsidRDefault="00203B87" w:rsidP="00376A2B">
            <w:pPr>
              <w:pStyle w:val="NoSpacing"/>
              <w:spacing w:after="0"/>
              <w:jc w:val="center"/>
              <w:rPr>
                <w:u w:val="double"/>
              </w:rPr>
            </w:pPr>
            <w:r w:rsidRPr="00203B87">
              <w:rPr>
                <w:u w:val="double"/>
              </w:rPr>
              <w:t>$28,156</w:t>
            </w:r>
          </w:p>
        </w:tc>
      </w:tr>
    </w:tbl>
    <w:p w:rsidR="004B70C4" w:rsidRDefault="00203B87" w:rsidP="00376A2B">
      <w:pPr>
        <w:pStyle w:val="NoSpacing"/>
        <w:spacing w:before="240"/>
      </w:pPr>
      <w:r>
        <w:t>The Federation's return on investments for the year ended December 31, 201</w:t>
      </w:r>
      <w:r w:rsidR="009B105A">
        <w:t>5</w:t>
      </w:r>
      <w:r>
        <w:t xml:space="preserve"> consisted of the following components:</w:t>
      </w:r>
    </w:p>
    <w:tbl>
      <w:tblPr>
        <w:tblStyle w:val="TableGrid"/>
        <w:tblW w:w="0" w:type="auto"/>
        <w:tblLook w:val="04A0" w:firstRow="1" w:lastRow="0" w:firstColumn="1" w:lastColumn="0" w:noHBand="0" w:noVBand="1"/>
      </w:tblPr>
      <w:tblGrid>
        <w:gridCol w:w="4531"/>
        <w:gridCol w:w="1725"/>
        <w:gridCol w:w="1797"/>
        <w:gridCol w:w="1523"/>
      </w:tblGrid>
      <w:tr w:rsidR="00203B87" w:rsidTr="00203B87">
        <w:trPr>
          <w:tblHeader/>
        </w:trPr>
        <w:tc>
          <w:tcPr>
            <w:tcW w:w="4698" w:type="dxa"/>
          </w:tcPr>
          <w:p w:rsidR="00203B87" w:rsidRDefault="00203B87" w:rsidP="00376A2B">
            <w:pPr>
              <w:pStyle w:val="NoSpacing"/>
              <w:spacing w:after="0"/>
            </w:pPr>
          </w:p>
        </w:tc>
        <w:tc>
          <w:tcPr>
            <w:tcW w:w="1620" w:type="dxa"/>
          </w:tcPr>
          <w:p w:rsidR="00203B87" w:rsidRPr="00203B87" w:rsidRDefault="00203B87" w:rsidP="00376A2B">
            <w:pPr>
              <w:pStyle w:val="NoSpacing"/>
              <w:spacing w:after="0"/>
              <w:rPr>
                <w:b/>
              </w:rPr>
            </w:pPr>
            <w:r w:rsidRPr="00203B87">
              <w:rPr>
                <w:b/>
              </w:rPr>
              <w:t>Unrestricted</w:t>
            </w:r>
          </w:p>
        </w:tc>
        <w:tc>
          <w:tcPr>
            <w:tcW w:w="1800" w:type="dxa"/>
          </w:tcPr>
          <w:p w:rsidR="00203B87" w:rsidRPr="00203B87" w:rsidRDefault="00203B87" w:rsidP="00376A2B">
            <w:pPr>
              <w:pStyle w:val="NoSpacing"/>
              <w:spacing w:after="0"/>
              <w:rPr>
                <w:b/>
              </w:rPr>
            </w:pPr>
            <w:r w:rsidRPr="00203B87">
              <w:rPr>
                <w:b/>
              </w:rPr>
              <w:t>Temporarily Restricted</w:t>
            </w:r>
          </w:p>
        </w:tc>
        <w:tc>
          <w:tcPr>
            <w:tcW w:w="1458" w:type="dxa"/>
          </w:tcPr>
          <w:p w:rsidR="00203B87" w:rsidRPr="00203B87" w:rsidRDefault="00203B87" w:rsidP="00376A2B">
            <w:pPr>
              <w:pStyle w:val="NoSpacing"/>
              <w:spacing w:after="0"/>
              <w:rPr>
                <w:b/>
              </w:rPr>
            </w:pPr>
            <w:r w:rsidRPr="00203B87">
              <w:rPr>
                <w:b/>
              </w:rPr>
              <w:t>Total</w:t>
            </w:r>
          </w:p>
        </w:tc>
      </w:tr>
      <w:tr w:rsidR="00203B87" w:rsidTr="005F16AA">
        <w:trPr>
          <w:cantSplit/>
          <w:trHeight w:val="359"/>
        </w:trPr>
        <w:tc>
          <w:tcPr>
            <w:tcW w:w="4698" w:type="dxa"/>
            <w:vAlign w:val="center"/>
          </w:tcPr>
          <w:p w:rsidR="00203B87" w:rsidRDefault="00203B87" w:rsidP="00376A2B">
            <w:pPr>
              <w:pStyle w:val="NoSpacing"/>
              <w:spacing w:after="0"/>
            </w:pPr>
            <w:r>
              <w:t>Interest and dividends</w:t>
            </w:r>
          </w:p>
        </w:tc>
        <w:tc>
          <w:tcPr>
            <w:tcW w:w="1620" w:type="dxa"/>
            <w:vAlign w:val="center"/>
          </w:tcPr>
          <w:p w:rsidR="00203B87" w:rsidRPr="00203B87" w:rsidRDefault="003E7EB1" w:rsidP="00376A2B">
            <w:pPr>
              <w:pStyle w:val="NoSpacing"/>
              <w:spacing w:after="0"/>
              <w:jc w:val="center"/>
              <w:rPr>
                <w:u w:val="single"/>
              </w:rPr>
            </w:pPr>
            <w:r>
              <w:rPr>
                <w:u w:val="single"/>
              </w:rPr>
              <w:t>$633,000</w:t>
            </w:r>
          </w:p>
        </w:tc>
        <w:tc>
          <w:tcPr>
            <w:tcW w:w="1800" w:type="dxa"/>
            <w:vAlign w:val="center"/>
          </w:tcPr>
          <w:p w:rsidR="00203B87" w:rsidRPr="00203B87" w:rsidRDefault="00F555F3" w:rsidP="00376A2B">
            <w:pPr>
              <w:pStyle w:val="NoSpacing"/>
              <w:spacing w:after="0"/>
              <w:jc w:val="center"/>
              <w:rPr>
                <w:u w:val="single"/>
              </w:rPr>
            </w:pPr>
            <w:r>
              <w:rPr>
                <w:u w:val="single"/>
              </w:rPr>
              <w:t>$96,138</w:t>
            </w:r>
          </w:p>
        </w:tc>
        <w:tc>
          <w:tcPr>
            <w:tcW w:w="1458" w:type="dxa"/>
            <w:vAlign w:val="center"/>
          </w:tcPr>
          <w:p w:rsidR="00203B87" w:rsidRPr="00203B87" w:rsidRDefault="00F555F3" w:rsidP="00376A2B">
            <w:pPr>
              <w:pStyle w:val="NoSpacing"/>
              <w:spacing w:after="0"/>
              <w:jc w:val="center"/>
              <w:rPr>
                <w:u w:val="single"/>
              </w:rPr>
            </w:pPr>
            <w:r>
              <w:rPr>
                <w:u w:val="single"/>
              </w:rPr>
              <w:t>$729,138</w:t>
            </w:r>
          </w:p>
        </w:tc>
      </w:tr>
      <w:tr w:rsidR="00203B87" w:rsidTr="005F16AA">
        <w:trPr>
          <w:cantSplit/>
        </w:trPr>
        <w:tc>
          <w:tcPr>
            <w:tcW w:w="9576" w:type="dxa"/>
            <w:gridSpan w:val="4"/>
            <w:vAlign w:val="center"/>
          </w:tcPr>
          <w:p w:rsidR="00203B87" w:rsidRDefault="00203B87" w:rsidP="00376A2B">
            <w:pPr>
              <w:pStyle w:val="NoSpacing"/>
              <w:spacing w:after="0"/>
            </w:pPr>
            <w:r>
              <w:t>Gains (losses) on  investments:</w:t>
            </w:r>
          </w:p>
        </w:tc>
      </w:tr>
      <w:tr w:rsidR="00203B87" w:rsidTr="005F16AA">
        <w:trPr>
          <w:cantSplit/>
        </w:trPr>
        <w:tc>
          <w:tcPr>
            <w:tcW w:w="4698" w:type="dxa"/>
            <w:vAlign w:val="center"/>
          </w:tcPr>
          <w:p w:rsidR="00203B87" w:rsidRDefault="00203B87" w:rsidP="00376A2B">
            <w:pPr>
              <w:pStyle w:val="NoSpacing"/>
              <w:spacing w:after="0"/>
            </w:pPr>
            <w:r>
              <w:t>Net realized gains (losses)</w:t>
            </w:r>
          </w:p>
        </w:tc>
        <w:tc>
          <w:tcPr>
            <w:tcW w:w="1620" w:type="dxa"/>
            <w:vAlign w:val="center"/>
          </w:tcPr>
          <w:p w:rsidR="00203B87" w:rsidRDefault="00F555F3" w:rsidP="00376A2B">
            <w:pPr>
              <w:pStyle w:val="NoSpacing"/>
              <w:spacing w:after="0"/>
              <w:jc w:val="center"/>
            </w:pPr>
            <w:r>
              <w:t>72,422</w:t>
            </w:r>
          </w:p>
        </w:tc>
        <w:tc>
          <w:tcPr>
            <w:tcW w:w="1800" w:type="dxa"/>
            <w:vAlign w:val="center"/>
          </w:tcPr>
          <w:p w:rsidR="00203B87" w:rsidRDefault="00F555F3" w:rsidP="00376A2B">
            <w:pPr>
              <w:pStyle w:val="NoSpacing"/>
              <w:spacing w:after="0"/>
              <w:jc w:val="center"/>
            </w:pPr>
            <w:r>
              <w:t>(21,048)</w:t>
            </w:r>
          </w:p>
        </w:tc>
        <w:tc>
          <w:tcPr>
            <w:tcW w:w="1458" w:type="dxa"/>
            <w:vAlign w:val="center"/>
          </w:tcPr>
          <w:p w:rsidR="00203B87" w:rsidRDefault="00F555F3" w:rsidP="00376A2B">
            <w:pPr>
              <w:pStyle w:val="NoSpacing"/>
              <w:spacing w:after="0"/>
              <w:jc w:val="center"/>
            </w:pPr>
            <w:r>
              <w:t>51,374</w:t>
            </w:r>
          </w:p>
        </w:tc>
      </w:tr>
      <w:tr w:rsidR="00203B87" w:rsidTr="005F16AA">
        <w:trPr>
          <w:cantSplit/>
        </w:trPr>
        <w:tc>
          <w:tcPr>
            <w:tcW w:w="4698" w:type="dxa"/>
            <w:vAlign w:val="center"/>
          </w:tcPr>
          <w:p w:rsidR="00203B87" w:rsidRDefault="00203B87" w:rsidP="00376A2B">
            <w:pPr>
              <w:pStyle w:val="NoSpacing"/>
              <w:spacing w:after="0"/>
            </w:pPr>
            <w:r>
              <w:t>Net change in unrealized gains</w:t>
            </w:r>
          </w:p>
        </w:tc>
        <w:tc>
          <w:tcPr>
            <w:tcW w:w="1620" w:type="dxa"/>
            <w:vAlign w:val="center"/>
          </w:tcPr>
          <w:p w:rsidR="00203B87" w:rsidRDefault="00F555F3" w:rsidP="00376A2B">
            <w:pPr>
              <w:pStyle w:val="NoSpacing"/>
              <w:spacing w:after="0"/>
              <w:jc w:val="center"/>
            </w:pPr>
            <w:r>
              <w:t>(1,061,652)</w:t>
            </w:r>
          </w:p>
        </w:tc>
        <w:tc>
          <w:tcPr>
            <w:tcW w:w="1800" w:type="dxa"/>
            <w:vAlign w:val="center"/>
          </w:tcPr>
          <w:p w:rsidR="00203B87" w:rsidRDefault="00F555F3" w:rsidP="00376A2B">
            <w:pPr>
              <w:pStyle w:val="NoSpacing"/>
              <w:spacing w:after="0"/>
              <w:jc w:val="center"/>
            </w:pPr>
            <w:r>
              <w:t>(232,131)</w:t>
            </w:r>
          </w:p>
        </w:tc>
        <w:tc>
          <w:tcPr>
            <w:tcW w:w="1458" w:type="dxa"/>
            <w:vAlign w:val="center"/>
          </w:tcPr>
          <w:p w:rsidR="00203B87" w:rsidRDefault="00F555F3" w:rsidP="00376A2B">
            <w:pPr>
              <w:pStyle w:val="NoSpacing"/>
              <w:spacing w:after="0"/>
              <w:jc w:val="center"/>
            </w:pPr>
            <w:r>
              <w:t>(1,293,783)</w:t>
            </w:r>
          </w:p>
        </w:tc>
      </w:tr>
      <w:tr w:rsidR="00203B87" w:rsidTr="005F16AA">
        <w:trPr>
          <w:cantSplit/>
          <w:trHeight w:val="341"/>
        </w:trPr>
        <w:tc>
          <w:tcPr>
            <w:tcW w:w="4698" w:type="dxa"/>
            <w:vAlign w:val="center"/>
          </w:tcPr>
          <w:p w:rsidR="00203B87" w:rsidRDefault="00203B87" w:rsidP="00376A2B">
            <w:pPr>
              <w:pStyle w:val="NoSpacing"/>
              <w:spacing w:after="0"/>
            </w:pPr>
            <w:r>
              <w:t>Life insurance - net of premiums</w:t>
            </w:r>
          </w:p>
        </w:tc>
        <w:tc>
          <w:tcPr>
            <w:tcW w:w="1620" w:type="dxa"/>
            <w:vAlign w:val="center"/>
          </w:tcPr>
          <w:p w:rsidR="00203B87" w:rsidRPr="00203B87" w:rsidRDefault="00F555F3" w:rsidP="00376A2B">
            <w:pPr>
              <w:pStyle w:val="NoSpacing"/>
              <w:spacing w:after="0"/>
              <w:jc w:val="center"/>
              <w:rPr>
                <w:u w:val="single"/>
              </w:rPr>
            </w:pPr>
            <w:r>
              <w:rPr>
                <w:u w:val="single"/>
              </w:rPr>
              <w:t>(242,688)</w:t>
            </w:r>
          </w:p>
        </w:tc>
        <w:tc>
          <w:tcPr>
            <w:tcW w:w="1800" w:type="dxa"/>
            <w:vAlign w:val="center"/>
          </w:tcPr>
          <w:p w:rsidR="00203B87" w:rsidRPr="00203B87" w:rsidRDefault="00203B87" w:rsidP="00376A2B">
            <w:pPr>
              <w:pStyle w:val="NoSpacing"/>
              <w:spacing w:after="0"/>
              <w:jc w:val="center"/>
              <w:rPr>
                <w:u w:val="single"/>
              </w:rPr>
            </w:pPr>
            <w:r w:rsidRPr="00203B87">
              <w:rPr>
                <w:u w:val="single"/>
              </w:rPr>
              <w:t>--</w:t>
            </w:r>
          </w:p>
        </w:tc>
        <w:tc>
          <w:tcPr>
            <w:tcW w:w="1458" w:type="dxa"/>
            <w:vAlign w:val="center"/>
          </w:tcPr>
          <w:p w:rsidR="00203B87" w:rsidRPr="00203B87" w:rsidRDefault="00F555F3" w:rsidP="00376A2B">
            <w:pPr>
              <w:pStyle w:val="NoSpacing"/>
              <w:spacing w:after="0"/>
              <w:jc w:val="center"/>
              <w:rPr>
                <w:u w:val="single"/>
              </w:rPr>
            </w:pPr>
            <w:r>
              <w:rPr>
                <w:u w:val="single"/>
              </w:rPr>
              <w:t>(242,688)</w:t>
            </w:r>
          </w:p>
        </w:tc>
      </w:tr>
      <w:tr w:rsidR="00203B87" w:rsidTr="005F16AA">
        <w:trPr>
          <w:cantSplit/>
          <w:trHeight w:val="368"/>
        </w:trPr>
        <w:tc>
          <w:tcPr>
            <w:tcW w:w="4698" w:type="dxa"/>
            <w:vAlign w:val="center"/>
          </w:tcPr>
          <w:p w:rsidR="00203B87" w:rsidRDefault="00203B87" w:rsidP="00376A2B">
            <w:pPr>
              <w:pStyle w:val="NoSpacing"/>
              <w:spacing w:after="0"/>
            </w:pPr>
            <w:r>
              <w:t>Net losses on investments</w:t>
            </w:r>
          </w:p>
        </w:tc>
        <w:tc>
          <w:tcPr>
            <w:tcW w:w="1620" w:type="dxa"/>
            <w:vAlign w:val="center"/>
          </w:tcPr>
          <w:p w:rsidR="00203B87" w:rsidRPr="00203B87" w:rsidRDefault="00F555F3" w:rsidP="00376A2B">
            <w:pPr>
              <w:pStyle w:val="NoSpacing"/>
              <w:spacing w:after="0"/>
              <w:jc w:val="center"/>
              <w:rPr>
                <w:u w:val="single"/>
              </w:rPr>
            </w:pPr>
            <w:r>
              <w:rPr>
                <w:u w:val="single"/>
              </w:rPr>
              <w:t>(1,231,918)</w:t>
            </w:r>
          </w:p>
        </w:tc>
        <w:tc>
          <w:tcPr>
            <w:tcW w:w="1800" w:type="dxa"/>
            <w:vAlign w:val="center"/>
          </w:tcPr>
          <w:p w:rsidR="00203B87" w:rsidRPr="00203B87" w:rsidRDefault="00F555F3" w:rsidP="00376A2B">
            <w:pPr>
              <w:pStyle w:val="NoSpacing"/>
              <w:spacing w:after="0"/>
              <w:jc w:val="center"/>
              <w:rPr>
                <w:u w:val="single"/>
              </w:rPr>
            </w:pPr>
            <w:r>
              <w:rPr>
                <w:u w:val="single"/>
              </w:rPr>
              <w:t>(253,179)</w:t>
            </w:r>
          </w:p>
        </w:tc>
        <w:tc>
          <w:tcPr>
            <w:tcW w:w="1458" w:type="dxa"/>
            <w:vAlign w:val="center"/>
          </w:tcPr>
          <w:p w:rsidR="00203B87" w:rsidRPr="00203B87" w:rsidRDefault="00F555F3" w:rsidP="00376A2B">
            <w:pPr>
              <w:pStyle w:val="NoSpacing"/>
              <w:spacing w:after="0"/>
              <w:jc w:val="center"/>
              <w:rPr>
                <w:u w:val="single"/>
              </w:rPr>
            </w:pPr>
            <w:r>
              <w:rPr>
                <w:u w:val="single"/>
              </w:rPr>
              <w:t>(1,485,097)</w:t>
            </w:r>
          </w:p>
        </w:tc>
      </w:tr>
      <w:tr w:rsidR="00203B87" w:rsidTr="005F16AA">
        <w:trPr>
          <w:cantSplit/>
          <w:trHeight w:val="422"/>
        </w:trPr>
        <w:tc>
          <w:tcPr>
            <w:tcW w:w="4698" w:type="dxa"/>
            <w:vAlign w:val="center"/>
          </w:tcPr>
          <w:p w:rsidR="00203B87" w:rsidRDefault="00203B87" w:rsidP="00376A2B">
            <w:pPr>
              <w:pStyle w:val="NoSpacing"/>
              <w:spacing w:after="0"/>
            </w:pPr>
            <w:r>
              <w:t>Total return on investments</w:t>
            </w:r>
          </w:p>
        </w:tc>
        <w:tc>
          <w:tcPr>
            <w:tcW w:w="1620" w:type="dxa"/>
            <w:vAlign w:val="center"/>
          </w:tcPr>
          <w:p w:rsidR="00203B87" w:rsidRPr="00203B87" w:rsidRDefault="00F555F3" w:rsidP="00376A2B">
            <w:pPr>
              <w:pStyle w:val="NoSpacing"/>
              <w:spacing w:after="0"/>
              <w:jc w:val="center"/>
              <w:rPr>
                <w:u w:val="double"/>
              </w:rPr>
            </w:pPr>
            <w:r>
              <w:rPr>
                <w:u w:val="double"/>
              </w:rPr>
              <w:t>$(598,918)</w:t>
            </w:r>
          </w:p>
        </w:tc>
        <w:tc>
          <w:tcPr>
            <w:tcW w:w="1800" w:type="dxa"/>
            <w:vAlign w:val="center"/>
          </w:tcPr>
          <w:p w:rsidR="00203B87" w:rsidRPr="00203B87" w:rsidRDefault="00F555F3" w:rsidP="00376A2B">
            <w:pPr>
              <w:pStyle w:val="NoSpacing"/>
              <w:spacing w:after="0"/>
              <w:jc w:val="center"/>
              <w:rPr>
                <w:u w:val="double"/>
              </w:rPr>
            </w:pPr>
            <w:r>
              <w:rPr>
                <w:u w:val="double"/>
              </w:rPr>
              <w:t>$(157,041)</w:t>
            </w:r>
          </w:p>
        </w:tc>
        <w:tc>
          <w:tcPr>
            <w:tcW w:w="1458" w:type="dxa"/>
            <w:vAlign w:val="center"/>
          </w:tcPr>
          <w:p w:rsidR="00203B87" w:rsidRPr="00203B87" w:rsidRDefault="00F555F3" w:rsidP="00376A2B">
            <w:pPr>
              <w:pStyle w:val="NoSpacing"/>
              <w:spacing w:after="0"/>
              <w:jc w:val="center"/>
              <w:rPr>
                <w:u w:val="double"/>
              </w:rPr>
            </w:pPr>
            <w:r>
              <w:rPr>
                <w:u w:val="double"/>
              </w:rPr>
              <w:t>$(755,959)</w:t>
            </w:r>
          </w:p>
        </w:tc>
      </w:tr>
    </w:tbl>
    <w:p w:rsidR="00203B87" w:rsidRDefault="00203B87" w:rsidP="00376A2B">
      <w:pPr>
        <w:pStyle w:val="NoSpacing"/>
        <w:spacing w:before="240"/>
      </w:pPr>
      <w:r>
        <w:t>Expenses relating to investment revenue, including custodial fees and investment adv</w:t>
      </w:r>
      <w:r w:rsidR="00F555F3">
        <w:t>isory fees, amounted to $122,979</w:t>
      </w:r>
      <w:r>
        <w:t xml:space="preserve"> and have been netted against investment income in the accompanying statements of activities.</w:t>
      </w:r>
    </w:p>
    <w:p w:rsidR="00203B87" w:rsidRDefault="00BC641C" w:rsidP="00376A2B">
      <w:pPr>
        <w:pStyle w:val="Heading3"/>
      </w:pPr>
      <w:bookmarkStart w:id="58" w:name="_Toc415727712"/>
      <w:r>
        <w:t>NOTE 8</w:t>
      </w:r>
      <w:r w:rsidR="00203B87">
        <w:t xml:space="preserve"> - ALLOCATION OF JOINT COSTS</w:t>
      </w:r>
      <w:bookmarkEnd w:id="58"/>
    </w:p>
    <w:p w:rsidR="00203B87" w:rsidRPr="00203B87" w:rsidRDefault="00203B87" w:rsidP="00203B87">
      <w:r>
        <w:t>The Federation in</w:t>
      </w:r>
      <w:r w:rsidR="00BC641C">
        <w:t>curred joint costs of $2,393,960</w:t>
      </w:r>
      <w:r>
        <w:t xml:space="preserve"> for informational messages an</w:t>
      </w:r>
      <w:r w:rsidR="00BC641C">
        <w:t>d activities that included fund</w:t>
      </w:r>
      <w:r>
        <w:t>raising appeals. Of those</w:t>
      </w:r>
      <w:r w:rsidR="00BC641C">
        <w:t xml:space="preserve"> costs, $1,220,920 was allocated to fundraising expense and $1,173,040</w:t>
      </w:r>
      <w:r>
        <w:t xml:space="preserve"> was allocated to blindness integration. Management based these allocations on an analysis of the content of the messages, reasons for distributing the messages and the audience to whom the messages were distributed.</w:t>
      </w:r>
    </w:p>
    <w:p w:rsidR="00285FD8" w:rsidRPr="00AC4AD6" w:rsidRDefault="00285FD8" w:rsidP="00285FD8">
      <w:pPr>
        <w:pStyle w:val="NoSpacing"/>
      </w:pPr>
    </w:p>
    <w:p w:rsidR="00BA4F3C" w:rsidRPr="00BA4F3C" w:rsidRDefault="00BA4F3C" w:rsidP="00BA4F3C"/>
    <w:sectPr w:rsidR="00BA4F3C" w:rsidRPr="00BA4F3C" w:rsidSect="0079171B">
      <w:footerReference w:type="default" r:id="rId12"/>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BC8" w:rsidRDefault="001E1BC8" w:rsidP="00EB3E4E">
      <w:r>
        <w:separator/>
      </w:r>
    </w:p>
  </w:endnote>
  <w:endnote w:type="continuationSeparator" w:id="0">
    <w:p w:rsidR="001E1BC8" w:rsidRDefault="001E1BC8" w:rsidP="00EB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EC1" w:rsidRDefault="008B4EC1" w:rsidP="00EB3E4E">
    <w:pPr>
      <w:pStyle w:val="NoSpacing"/>
      <w:jc w:val="center"/>
    </w:pPr>
    <w:r>
      <w:fldChar w:fldCharType="begin"/>
    </w:r>
    <w:r>
      <w:instrText xml:space="preserve"> PAGE   \* MERGEFORMAT </w:instrText>
    </w:r>
    <w:r>
      <w:fldChar w:fldCharType="separate"/>
    </w:r>
    <w:r w:rsidR="001E1BC8">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EC1" w:rsidRDefault="008B4EC1" w:rsidP="00EB3E4E">
    <w:pPr>
      <w:pStyle w:val="NoSpacing"/>
      <w:jc w:val="center"/>
    </w:pPr>
    <w:r w:rsidRPr="00AC4AD6">
      <w:t>See Independent Auditors' Report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EC1" w:rsidRDefault="008B4EC1" w:rsidP="00EB3E4E">
    <w:pPr>
      <w:pStyle w:val="NoSpacing"/>
      <w:jc w:val="center"/>
      <w:rPr>
        <w:sz w:val="24"/>
        <w:szCs w:val="24"/>
      </w:rPr>
    </w:pPr>
  </w:p>
  <w:p w:rsidR="008B4EC1" w:rsidRPr="00F54080" w:rsidRDefault="008B4EC1" w:rsidP="00EB3E4E">
    <w:pPr>
      <w:pStyle w:val="NoSpacing"/>
      <w:jc w:val="center"/>
      <w:rPr>
        <w:sz w:val="24"/>
        <w:szCs w:val="24"/>
      </w:rPr>
    </w:pPr>
    <w:r w:rsidRPr="00F54080">
      <w:rPr>
        <w:sz w:val="24"/>
        <w:szCs w:val="24"/>
      </w:rPr>
      <w:t xml:space="preserve">See </w:t>
    </w:r>
    <w:r>
      <w:rPr>
        <w:sz w:val="24"/>
        <w:szCs w:val="24"/>
      </w:rPr>
      <w:t>Accompanying Notes to Financial Statements</w:t>
    </w:r>
  </w:p>
  <w:p w:rsidR="008B4EC1" w:rsidRPr="00F54080" w:rsidRDefault="008B4EC1" w:rsidP="00EB3E4E">
    <w:pPr>
      <w:pStyle w:val="NoSpacing"/>
      <w:jc w:val="center"/>
    </w:pPr>
    <w:r>
      <w:fldChar w:fldCharType="begin"/>
    </w:r>
    <w:r>
      <w:instrText xml:space="preserve"> PAGE   \* MERGEFORMAT </w:instrText>
    </w:r>
    <w:r>
      <w:fldChar w:fldCharType="separate"/>
    </w:r>
    <w:r w:rsidR="004B2215">
      <w:rPr>
        <w:noProof/>
      </w:rPr>
      <w:t>8</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EC1" w:rsidRPr="00F54080" w:rsidRDefault="008B4EC1" w:rsidP="00EB3E4E">
    <w:pPr>
      <w:pStyle w:val="NoSpacing"/>
      <w:jc w:val="center"/>
    </w:pPr>
    <w:r>
      <w:fldChar w:fldCharType="begin"/>
    </w:r>
    <w:r>
      <w:instrText xml:space="preserve"> PAGE   \* MERGEFORMAT </w:instrText>
    </w:r>
    <w:r>
      <w:fldChar w:fldCharType="separate"/>
    </w:r>
    <w:r w:rsidR="004B2215">
      <w:rPr>
        <w:noProof/>
      </w:rPr>
      <w:t>24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BC8" w:rsidRDefault="001E1BC8" w:rsidP="00EB3E4E">
      <w:r>
        <w:separator/>
      </w:r>
    </w:p>
  </w:footnote>
  <w:footnote w:type="continuationSeparator" w:id="0">
    <w:p w:rsidR="001E1BC8" w:rsidRDefault="001E1BC8" w:rsidP="00EB3E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8C33E8"/>
    <w:multiLevelType w:val="hybridMultilevel"/>
    <w:tmpl w:val="2AD6D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Full" w:cryptAlgorithmClass="hash" w:cryptAlgorithmType="typeAny" w:cryptAlgorithmSid="4" w:cryptSpinCount="100000" w:hash="7wdFCLzgKxzxT6f9xBN3swCWgYE=" w:salt="Xp+HHnyY60Jk9Z8cN2T/Gg=="/>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8DD"/>
    <w:rsid w:val="000008DD"/>
    <w:rsid w:val="00010700"/>
    <w:rsid w:val="000259AD"/>
    <w:rsid w:val="00036532"/>
    <w:rsid w:val="00040F0D"/>
    <w:rsid w:val="000651D7"/>
    <w:rsid w:val="00084C34"/>
    <w:rsid w:val="00090FF9"/>
    <w:rsid w:val="000D2A00"/>
    <w:rsid w:val="000D38D0"/>
    <w:rsid w:val="000F06A7"/>
    <w:rsid w:val="00130613"/>
    <w:rsid w:val="0013272B"/>
    <w:rsid w:val="0015756E"/>
    <w:rsid w:val="001636DC"/>
    <w:rsid w:val="0019204C"/>
    <w:rsid w:val="001D056F"/>
    <w:rsid w:val="001E067F"/>
    <w:rsid w:val="001E1BC8"/>
    <w:rsid w:val="001F1897"/>
    <w:rsid w:val="001F7B7C"/>
    <w:rsid w:val="00203B87"/>
    <w:rsid w:val="00204E54"/>
    <w:rsid w:val="0020642B"/>
    <w:rsid w:val="00253086"/>
    <w:rsid w:val="00257B17"/>
    <w:rsid w:val="00280205"/>
    <w:rsid w:val="00284AE3"/>
    <w:rsid w:val="00285FD8"/>
    <w:rsid w:val="0029326E"/>
    <w:rsid w:val="00295EF1"/>
    <w:rsid w:val="002A443A"/>
    <w:rsid w:val="002F3501"/>
    <w:rsid w:val="003217E4"/>
    <w:rsid w:val="00322748"/>
    <w:rsid w:val="00330B49"/>
    <w:rsid w:val="003372E2"/>
    <w:rsid w:val="00361D0B"/>
    <w:rsid w:val="00376A2B"/>
    <w:rsid w:val="00395235"/>
    <w:rsid w:val="003A3494"/>
    <w:rsid w:val="003A6056"/>
    <w:rsid w:val="003D33AE"/>
    <w:rsid w:val="003E01CC"/>
    <w:rsid w:val="003E1EBE"/>
    <w:rsid w:val="003E7EB1"/>
    <w:rsid w:val="003F4A91"/>
    <w:rsid w:val="00434297"/>
    <w:rsid w:val="004523C7"/>
    <w:rsid w:val="0046285D"/>
    <w:rsid w:val="00464D55"/>
    <w:rsid w:val="0048475A"/>
    <w:rsid w:val="00496B1A"/>
    <w:rsid w:val="004A5D13"/>
    <w:rsid w:val="004B2215"/>
    <w:rsid w:val="004B70C4"/>
    <w:rsid w:val="004C08B5"/>
    <w:rsid w:val="004C1A2B"/>
    <w:rsid w:val="004C35E7"/>
    <w:rsid w:val="004C7C3D"/>
    <w:rsid w:val="004F744D"/>
    <w:rsid w:val="005635A9"/>
    <w:rsid w:val="005905B0"/>
    <w:rsid w:val="00595D4B"/>
    <w:rsid w:val="005B55A9"/>
    <w:rsid w:val="005C3C5A"/>
    <w:rsid w:val="005C66F4"/>
    <w:rsid w:val="005D7260"/>
    <w:rsid w:val="005F16AA"/>
    <w:rsid w:val="005F5FF1"/>
    <w:rsid w:val="00626271"/>
    <w:rsid w:val="006403D4"/>
    <w:rsid w:val="0064346C"/>
    <w:rsid w:val="006A0968"/>
    <w:rsid w:val="006A6AF9"/>
    <w:rsid w:val="006D585D"/>
    <w:rsid w:val="006D7A17"/>
    <w:rsid w:val="006E0575"/>
    <w:rsid w:val="006F0398"/>
    <w:rsid w:val="00704BED"/>
    <w:rsid w:val="00713DA3"/>
    <w:rsid w:val="00716DD2"/>
    <w:rsid w:val="007551E9"/>
    <w:rsid w:val="00757ED7"/>
    <w:rsid w:val="007859C8"/>
    <w:rsid w:val="0079171B"/>
    <w:rsid w:val="007A78FC"/>
    <w:rsid w:val="007B261F"/>
    <w:rsid w:val="007C7E58"/>
    <w:rsid w:val="007D3A69"/>
    <w:rsid w:val="00835024"/>
    <w:rsid w:val="00854DDB"/>
    <w:rsid w:val="00864851"/>
    <w:rsid w:val="00873B21"/>
    <w:rsid w:val="00883441"/>
    <w:rsid w:val="008B4EC1"/>
    <w:rsid w:val="008B5A08"/>
    <w:rsid w:val="008D43D7"/>
    <w:rsid w:val="00931D23"/>
    <w:rsid w:val="00957DA4"/>
    <w:rsid w:val="0098161F"/>
    <w:rsid w:val="009925B6"/>
    <w:rsid w:val="009B105A"/>
    <w:rsid w:val="009B727E"/>
    <w:rsid w:val="009C1F09"/>
    <w:rsid w:val="009E07F2"/>
    <w:rsid w:val="009E5865"/>
    <w:rsid w:val="009F7F9D"/>
    <w:rsid w:val="00A00B6E"/>
    <w:rsid w:val="00A0605F"/>
    <w:rsid w:val="00A16C81"/>
    <w:rsid w:val="00A2318F"/>
    <w:rsid w:val="00A76FE3"/>
    <w:rsid w:val="00A9137A"/>
    <w:rsid w:val="00AC632D"/>
    <w:rsid w:val="00AD0DA8"/>
    <w:rsid w:val="00AE35AE"/>
    <w:rsid w:val="00B0508B"/>
    <w:rsid w:val="00B86662"/>
    <w:rsid w:val="00BA4F3C"/>
    <w:rsid w:val="00BA621E"/>
    <w:rsid w:val="00BB3056"/>
    <w:rsid w:val="00BC641C"/>
    <w:rsid w:val="00BF2841"/>
    <w:rsid w:val="00C21E66"/>
    <w:rsid w:val="00C67B95"/>
    <w:rsid w:val="00C74089"/>
    <w:rsid w:val="00CA577F"/>
    <w:rsid w:val="00CB1CFA"/>
    <w:rsid w:val="00CF010B"/>
    <w:rsid w:val="00CF5992"/>
    <w:rsid w:val="00D14E5D"/>
    <w:rsid w:val="00D24345"/>
    <w:rsid w:val="00D32F96"/>
    <w:rsid w:val="00D51AB6"/>
    <w:rsid w:val="00DA7F59"/>
    <w:rsid w:val="00DE0918"/>
    <w:rsid w:val="00DF17B1"/>
    <w:rsid w:val="00DF4846"/>
    <w:rsid w:val="00E00F15"/>
    <w:rsid w:val="00E03F96"/>
    <w:rsid w:val="00E20C87"/>
    <w:rsid w:val="00E34D5B"/>
    <w:rsid w:val="00E5269B"/>
    <w:rsid w:val="00E54E73"/>
    <w:rsid w:val="00E858CF"/>
    <w:rsid w:val="00EB3E4E"/>
    <w:rsid w:val="00EE5ED4"/>
    <w:rsid w:val="00F03475"/>
    <w:rsid w:val="00F208E3"/>
    <w:rsid w:val="00F46AEC"/>
    <w:rsid w:val="00F525F7"/>
    <w:rsid w:val="00F54080"/>
    <w:rsid w:val="00F555F3"/>
    <w:rsid w:val="00F76582"/>
    <w:rsid w:val="00F858A0"/>
    <w:rsid w:val="00FF4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E5D"/>
    <w:pPr>
      <w:spacing w:after="0" w:line="240" w:lineRule="auto"/>
    </w:pPr>
    <w:rPr>
      <w:rFonts w:ascii="Times New Roman" w:hAnsi="Times New Roman" w:cs="Times New Roman"/>
      <w:sz w:val="28"/>
      <w:szCs w:val="28"/>
    </w:rPr>
  </w:style>
  <w:style w:type="paragraph" w:styleId="Heading1">
    <w:name w:val="heading 1"/>
    <w:basedOn w:val="Normal"/>
    <w:next w:val="Normal"/>
    <w:link w:val="Heading1Char"/>
    <w:uiPriority w:val="9"/>
    <w:qFormat/>
    <w:rsid w:val="000008DD"/>
    <w:pPr>
      <w:keepNext/>
      <w:keepLines/>
      <w:jc w:val="center"/>
      <w:outlineLvl w:val="0"/>
    </w:pPr>
    <w:rPr>
      <w:rFonts w:eastAsiaTheme="majorEastAsia"/>
      <w:b/>
      <w:bCs/>
    </w:rPr>
  </w:style>
  <w:style w:type="paragraph" w:styleId="Heading2">
    <w:name w:val="heading 2"/>
    <w:basedOn w:val="Normal"/>
    <w:next w:val="Normal"/>
    <w:link w:val="Heading2Char"/>
    <w:uiPriority w:val="9"/>
    <w:unhideWhenUsed/>
    <w:qFormat/>
    <w:rsid w:val="00376A2B"/>
    <w:pPr>
      <w:keepNext/>
      <w:keepLines/>
      <w:jc w:val="center"/>
      <w:outlineLvl w:val="1"/>
    </w:pPr>
    <w:rPr>
      <w:rFonts w:eastAsiaTheme="majorEastAsia" w:cstheme="majorBidi"/>
      <w:b/>
      <w:bCs/>
      <w:color w:val="1D1D1D"/>
      <w:szCs w:val="26"/>
    </w:rPr>
  </w:style>
  <w:style w:type="paragraph" w:styleId="Heading3">
    <w:name w:val="heading 3"/>
    <w:basedOn w:val="NoSpacing"/>
    <w:next w:val="Normal"/>
    <w:link w:val="Heading3Char"/>
    <w:uiPriority w:val="9"/>
    <w:unhideWhenUsed/>
    <w:qFormat/>
    <w:rsid w:val="00376A2B"/>
    <w:pPr>
      <w:spacing w:before="240"/>
      <w:outlineLvl w:val="2"/>
    </w:pPr>
    <w:rPr>
      <w:b/>
    </w:rPr>
  </w:style>
  <w:style w:type="paragraph" w:styleId="Heading4">
    <w:name w:val="heading 4"/>
    <w:basedOn w:val="Heading3"/>
    <w:next w:val="Normal"/>
    <w:link w:val="Heading4Char"/>
    <w:uiPriority w:val="9"/>
    <w:unhideWhenUsed/>
    <w:qFormat/>
    <w:rsid w:val="00376A2B"/>
    <w:pPr>
      <w:keepNext/>
      <w:keepLines/>
      <w:spacing w:before="200"/>
      <w:outlineLvl w:val="3"/>
    </w:pPr>
    <w:rPr>
      <w:rFonts w:eastAsiaTheme="majorEastAsia" w:cstheme="majorBidi"/>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8DD"/>
    <w:rPr>
      <w:rFonts w:ascii="Times New Roman" w:eastAsiaTheme="majorEastAsia" w:hAnsi="Times New Roman" w:cs="Times New Roman"/>
      <w:b/>
      <w:bCs/>
      <w:sz w:val="28"/>
      <w:szCs w:val="28"/>
    </w:rPr>
  </w:style>
  <w:style w:type="paragraph" w:styleId="NoSpacing">
    <w:name w:val="No Spacing"/>
    <w:uiPriority w:val="1"/>
    <w:qFormat/>
    <w:rsid w:val="00285FD8"/>
    <w:pPr>
      <w:spacing w:after="240" w:line="240" w:lineRule="auto"/>
    </w:pPr>
    <w:rPr>
      <w:rFonts w:ascii="Times New Roman" w:hAnsi="Times New Roman" w:cs="Times New Roman"/>
      <w:sz w:val="28"/>
      <w:szCs w:val="28"/>
    </w:rPr>
  </w:style>
  <w:style w:type="character" w:customStyle="1" w:styleId="Heading2Char">
    <w:name w:val="Heading 2 Char"/>
    <w:basedOn w:val="DefaultParagraphFont"/>
    <w:link w:val="Heading2"/>
    <w:uiPriority w:val="9"/>
    <w:rsid w:val="00376A2B"/>
    <w:rPr>
      <w:rFonts w:ascii="Times New Roman" w:eastAsiaTheme="majorEastAsia" w:hAnsi="Times New Roman" w:cstheme="majorBidi"/>
      <w:b/>
      <w:bCs/>
      <w:color w:val="1D1D1D"/>
      <w:sz w:val="28"/>
      <w:szCs w:val="26"/>
    </w:rPr>
  </w:style>
  <w:style w:type="table" w:styleId="TableGrid">
    <w:name w:val="Table Grid"/>
    <w:basedOn w:val="TableNormal"/>
    <w:uiPriority w:val="59"/>
    <w:rsid w:val="0033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76A2B"/>
    <w:rPr>
      <w:rFonts w:ascii="Times New Roman" w:hAnsi="Times New Roman" w:cs="Times New Roman"/>
      <w:b/>
      <w:sz w:val="28"/>
      <w:szCs w:val="28"/>
    </w:rPr>
  </w:style>
  <w:style w:type="paragraph" w:styleId="Header">
    <w:name w:val="header"/>
    <w:basedOn w:val="Normal"/>
    <w:link w:val="HeaderChar"/>
    <w:uiPriority w:val="99"/>
    <w:unhideWhenUsed/>
    <w:rsid w:val="00EB3E4E"/>
    <w:pPr>
      <w:tabs>
        <w:tab w:val="center" w:pos="4680"/>
        <w:tab w:val="right" w:pos="9360"/>
      </w:tabs>
    </w:pPr>
  </w:style>
  <w:style w:type="character" w:customStyle="1" w:styleId="HeaderChar">
    <w:name w:val="Header Char"/>
    <w:basedOn w:val="DefaultParagraphFont"/>
    <w:link w:val="Header"/>
    <w:uiPriority w:val="99"/>
    <w:rsid w:val="00EB3E4E"/>
    <w:rPr>
      <w:rFonts w:ascii="Times New Roman" w:hAnsi="Times New Roman" w:cs="Times New Roman"/>
      <w:sz w:val="28"/>
      <w:szCs w:val="28"/>
    </w:rPr>
  </w:style>
  <w:style w:type="paragraph" w:styleId="Footer">
    <w:name w:val="footer"/>
    <w:basedOn w:val="Normal"/>
    <w:link w:val="FooterChar"/>
    <w:uiPriority w:val="99"/>
    <w:unhideWhenUsed/>
    <w:rsid w:val="00EB3E4E"/>
    <w:pPr>
      <w:tabs>
        <w:tab w:val="center" w:pos="4680"/>
        <w:tab w:val="right" w:pos="9360"/>
      </w:tabs>
    </w:pPr>
  </w:style>
  <w:style w:type="character" w:customStyle="1" w:styleId="FooterChar">
    <w:name w:val="Footer Char"/>
    <w:basedOn w:val="DefaultParagraphFont"/>
    <w:link w:val="Footer"/>
    <w:uiPriority w:val="99"/>
    <w:rsid w:val="00EB3E4E"/>
    <w:rPr>
      <w:rFonts w:ascii="Times New Roman" w:hAnsi="Times New Roman" w:cs="Times New Roman"/>
      <w:sz w:val="28"/>
      <w:szCs w:val="28"/>
    </w:rPr>
  </w:style>
  <w:style w:type="paragraph" w:styleId="TOCHeading">
    <w:name w:val="TOC Heading"/>
    <w:basedOn w:val="Heading1"/>
    <w:next w:val="Normal"/>
    <w:uiPriority w:val="39"/>
    <w:unhideWhenUsed/>
    <w:qFormat/>
    <w:rsid w:val="00E54E73"/>
    <w:pPr>
      <w:spacing w:before="480" w:line="276" w:lineRule="auto"/>
      <w:jc w:val="left"/>
      <w:outlineLvl w:val="9"/>
    </w:pPr>
    <w:rPr>
      <w:rFonts w:asciiTheme="majorHAnsi" w:hAnsiTheme="majorHAnsi" w:cstheme="majorBidi"/>
      <w:color w:val="365F91" w:themeColor="accent1" w:themeShade="BF"/>
      <w:lang w:eastAsia="ja-JP"/>
    </w:rPr>
  </w:style>
  <w:style w:type="paragraph" w:styleId="TOC1">
    <w:name w:val="toc 1"/>
    <w:basedOn w:val="Normal"/>
    <w:next w:val="Normal"/>
    <w:autoRedefine/>
    <w:uiPriority w:val="39"/>
    <w:unhideWhenUsed/>
    <w:qFormat/>
    <w:rsid w:val="00E54E73"/>
    <w:pPr>
      <w:tabs>
        <w:tab w:val="right" w:leader="dot" w:pos="9350"/>
      </w:tabs>
      <w:spacing w:after="100"/>
    </w:pPr>
    <w:rPr>
      <w:noProof/>
    </w:rPr>
  </w:style>
  <w:style w:type="paragraph" w:styleId="TOC2">
    <w:name w:val="toc 2"/>
    <w:basedOn w:val="Normal"/>
    <w:next w:val="Normal"/>
    <w:autoRedefine/>
    <w:uiPriority w:val="39"/>
    <w:unhideWhenUsed/>
    <w:qFormat/>
    <w:rsid w:val="00E54E73"/>
    <w:pPr>
      <w:spacing w:after="100"/>
      <w:ind w:left="280"/>
    </w:pPr>
  </w:style>
  <w:style w:type="paragraph" w:styleId="TOC3">
    <w:name w:val="toc 3"/>
    <w:basedOn w:val="Normal"/>
    <w:next w:val="Normal"/>
    <w:autoRedefine/>
    <w:uiPriority w:val="39"/>
    <w:unhideWhenUsed/>
    <w:qFormat/>
    <w:rsid w:val="00E54E73"/>
    <w:pPr>
      <w:spacing w:after="100"/>
      <w:ind w:left="560"/>
    </w:pPr>
  </w:style>
  <w:style w:type="character" w:styleId="Hyperlink">
    <w:name w:val="Hyperlink"/>
    <w:basedOn w:val="DefaultParagraphFont"/>
    <w:uiPriority w:val="99"/>
    <w:unhideWhenUsed/>
    <w:rsid w:val="00E54E73"/>
    <w:rPr>
      <w:color w:val="0000FF" w:themeColor="hyperlink"/>
      <w:u w:val="single"/>
    </w:rPr>
  </w:style>
  <w:style w:type="paragraph" w:styleId="BalloonText">
    <w:name w:val="Balloon Text"/>
    <w:basedOn w:val="Normal"/>
    <w:link w:val="BalloonTextChar"/>
    <w:uiPriority w:val="99"/>
    <w:semiHidden/>
    <w:unhideWhenUsed/>
    <w:rsid w:val="00E54E73"/>
    <w:rPr>
      <w:rFonts w:ascii="Tahoma" w:hAnsi="Tahoma" w:cs="Tahoma"/>
      <w:sz w:val="16"/>
      <w:szCs w:val="16"/>
    </w:rPr>
  </w:style>
  <w:style w:type="character" w:customStyle="1" w:styleId="BalloonTextChar">
    <w:name w:val="Balloon Text Char"/>
    <w:basedOn w:val="DefaultParagraphFont"/>
    <w:link w:val="BalloonText"/>
    <w:uiPriority w:val="99"/>
    <w:semiHidden/>
    <w:rsid w:val="00E54E73"/>
    <w:rPr>
      <w:rFonts w:ascii="Tahoma" w:hAnsi="Tahoma" w:cs="Tahoma"/>
      <w:sz w:val="16"/>
      <w:szCs w:val="16"/>
    </w:rPr>
  </w:style>
  <w:style w:type="character" w:customStyle="1" w:styleId="Heading4Char">
    <w:name w:val="Heading 4 Char"/>
    <w:basedOn w:val="DefaultParagraphFont"/>
    <w:link w:val="Heading4"/>
    <w:uiPriority w:val="9"/>
    <w:rsid w:val="00376A2B"/>
    <w:rPr>
      <w:rFonts w:ascii="Times New Roman" w:eastAsiaTheme="majorEastAsia" w:hAnsi="Times New Roman" w:cstheme="majorBidi"/>
      <w:b/>
      <w:bCs/>
      <w:iCs/>
      <w:sz w:val="28"/>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E5D"/>
    <w:pPr>
      <w:spacing w:after="0" w:line="240" w:lineRule="auto"/>
    </w:pPr>
    <w:rPr>
      <w:rFonts w:ascii="Times New Roman" w:hAnsi="Times New Roman" w:cs="Times New Roman"/>
      <w:sz w:val="28"/>
      <w:szCs w:val="28"/>
    </w:rPr>
  </w:style>
  <w:style w:type="paragraph" w:styleId="Heading1">
    <w:name w:val="heading 1"/>
    <w:basedOn w:val="Normal"/>
    <w:next w:val="Normal"/>
    <w:link w:val="Heading1Char"/>
    <w:uiPriority w:val="9"/>
    <w:qFormat/>
    <w:rsid w:val="000008DD"/>
    <w:pPr>
      <w:keepNext/>
      <w:keepLines/>
      <w:jc w:val="center"/>
      <w:outlineLvl w:val="0"/>
    </w:pPr>
    <w:rPr>
      <w:rFonts w:eastAsiaTheme="majorEastAsia"/>
      <w:b/>
      <w:bCs/>
    </w:rPr>
  </w:style>
  <w:style w:type="paragraph" w:styleId="Heading2">
    <w:name w:val="heading 2"/>
    <w:basedOn w:val="Normal"/>
    <w:next w:val="Normal"/>
    <w:link w:val="Heading2Char"/>
    <w:uiPriority w:val="9"/>
    <w:unhideWhenUsed/>
    <w:qFormat/>
    <w:rsid w:val="00376A2B"/>
    <w:pPr>
      <w:keepNext/>
      <w:keepLines/>
      <w:jc w:val="center"/>
      <w:outlineLvl w:val="1"/>
    </w:pPr>
    <w:rPr>
      <w:rFonts w:eastAsiaTheme="majorEastAsia" w:cstheme="majorBidi"/>
      <w:b/>
      <w:bCs/>
      <w:color w:val="1D1D1D"/>
      <w:szCs w:val="26"/>
    </w:rPr>
  </w:style>
  <w:style w:type="paragraph" w:styleId="Heading3">
    <w:name w:val="heading 3"/>
    <w:basedOn w:val="NoSpacing"/>
    <w:next w:val="Normal"/>
    <w:link w:val="Heading3Char"/>
    <w:uiPriority w:val="9"/>
    <w:unhideWhenUsed/>
    <w:qFormat/>
    <w:rsid w:val="00376A2B"/>
    <w:pPr>
      <w:spacing w:before="240"/>
      <w:outlineLvl w:val="2"/>
    </w:pPr>
    <w:rPr>
      <w:b/>
    </w:rPr>
  </w:style>
  <w:style w:type="paragraph" w:styleId="Heading4">
    <w:name w:val="heading 4"/>
    <w:basedOn w:val="Heading3"/>
    <w:next w:val="Normal"/>
    <w:link w:val="Heading4Char"/>
    <w:uiPriority w:val="9"/>
    <w:unhideWhenUsed/>
    <w:qFormat/>
    <w:rsid w:val="00376A2B"/>
    <w:pPr>
      <w:keepNext/>
      <w:keepLines/>
      <w:spacing w:before="200"/>
      <w:outlineLvl w:val="3"/>
    </w:pPr>
    <w:rPr>
      <w:rFonts w:eastAsiaTheme="majorEastAsia" w:cstheme="majorBidi"/>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8DD"/>
    <w:rPr>
      <w:rFonts w:ascii="Times New Roman" w:eastAsiaTheme="majorEastAsia" w:hAnsi="Times New Roman" w:cs="Times New Roman"/>
      <w:b/>
      <w:bCs/>
      <w:sz w:val="28"/>
      <w:szCs w:val="28"/>
    </w:rPr>
  </w:style>
  <w:style w:type="paragraph" w:styleId="NoSpacing">
    <w:name w:val="No Spacing"/>
    <w:uiPriority w:val="1"/>
    <w:qFormat/>
    <w:rsid w:val="00285FD8"/>
    <w:pPr>
      <w:spacing w:after="240" w:line="240" w:lineRule="auto"/>
    </w:pPr>
    <w:rPr>
      <w:rFonts w:ascii="Times New Roman" w:hAnsi="Times New Roman" w:cs="Times New Roman"/>
      <w:sz w:val="28"/>
      <w:szCs w:val="28"/>
    </w:rPr>
  </w:style>
  <w:style w:type="character" w:customStyle="1" w:styleId="Heading2Char">
    <w:name w:val="Heading 2 Char"/>
    <w:basedOn w:val="DefaultParagraphFont"/>
    <w:link w:val="Heading2"/>
    <w:uiPriority w:val="9"/>
    <w:rsid w:val="00376A2B"/>
    <w:rPr>
      <w:rFonts w:ascii="Times New Roman" w:eastAsiaTheme="majorEastAsia" w:hAnsi="Times New Roman" w:cstheme="majorBidi"/>
      <w:b/>
      <w:bCs/>
      <w:color w:val="1D1D1D"/>
      <w:sz w:val="28"/>
      <w:szCs w:val="26"/>
    </w:rPr>
  </w:style>
  <w:style w:type="table" w:styleId="TableGrid">
    <w:name w:val="Table Grid"/>
    <w:basedOn w:val="TableNormal"/>
    <w:uiPriority w:val="59"/>
    <w:rsid w:val="0033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76A2B"/>
    <w:rPr>
      <w:rFonts w:ascii="Times New Roman" w:hAnsi="Times New Roman" w:cs="Times New Roman"/>
      <w:b/>
      <w:sz w:val="28"/>
      <w:szCs w:val="28"/>
    </w:rPr>
  </w:style>
  <w:style w:type="paragraph" w:styleId="Header">
    <w:name w:val="header"/>
    <w:basedOn w:val="Normal"/>
    <w:link w:val="HeaderChar"/>
    <w:uiPriority w:val="99"/>
    <w:unhideWhenUsed/>
    <w:rsid w:val="00EB3E4E"/>
    <w:pPr>
      <w:tabs>
        <w:tab w:val="center" w:pos="4680"/>
        <w:tab w:val="right" w:pos="9360"/>
      </w:tabs>
    </w:pPr>
  </w:style>
  <w:style w:type="character" w:customStyle="1" w:styleId="HeaderChar">
    <w:name w:val="Header Char"/>
    <w:basedOn w:val="DefaultParagraphFont"/>
    <w:link w:val="Header"/>
    <w:uiPriority w:val="99"/>
    <w:rsid w:val="00EB3E4E"/>
    <w:rPr>
      <w:rFonts w:ascii="Times New Roman" w:hAnsi="Times New Roman" w:cs="Times New Roman"/>
      <w:sz w:val="28"/>
      <w:szCs w:val="28"/>
    </w:rPr>
  </w:style>
  <w:style w:type="paragraph" w:styleId="Footer">
    <w:name w:val="footer"/>
    <w:basedOn w:val="Normal"/>
    <w:link w:val="FooterChar"/>
    <w:uiPriority w:val="99"/>
    <w:unhideWhenUsed/>
    <w:rsid w:val="00EB3E4E"/>
    <w:pPr>
      <w:tabs>
        <w:tab w:val="center" w:pos="4680"/>
        <w:tab w:val="right" w:pos="9360"/>
      </w:tabs>
    </w:pPr>
  </w:style>
  <w:style w:type="character" w:customStyle="1" w:styleId="FooterChar">
    <w:name w:val="Footer Char"/>
    <w:basedOn w:val="DefaultParagraphFont"/>
    <w:link w:val="Footer"/>
    <w:uiPriority w:val="99"/>
    <w:rsid w:val="00EB3E4E"/>
    <w:rPr>
      <w:rFonts w:ascii="Times New Roman" w:hAnsi="Times New Roman" w:cs="Times New Roman"/>
      <w:sz w:val="28"/>
      <w:szCs w:val="28"/>
    </w:rPr>
  </w:style>
  <w:style w:type="paragraph" w:styleId="TOCHeading">
    <w:name w:val="TOC Heading"/>
    <w:basedOn w:val="Heading1"/>
    <w:next w:val="Normal"/>
    <w:uiPriority w:val="39"/>
    <w:unhideWhenUsed/>
    <w:qFormat/>
    <w:rsid w:val="00E54E73"/>
    <w:pPr>
      <w:spacing w:before="480" w:line="276" w:lineRule="auto"/>
      <w:jc w:val="left"/>
      <w:outlineLvl w:val="9"/>
    </w:pPr>
    <w:rPr>
      <w:rFonts w:asciiTheme="majorHAnsi" w:hAnsiTheme="majorHAnsi" w:cstheme="majorBidi"/>
      <w:color w:val="365F91" w:themeColor="accent1" w:themeShade="BF"/>
      <w:lang w:eastAsia="ja-JP"/>
    </w:rPr>
  </w:style>
  <w:style w:type="paragraph" w:styleId="TOC1">
    <w:name w:val="toc 1"/>
    <w:basedOn w:val="Normal"/>
    <w:next w:val="Normal"/>
    <w:autoRedefine/>
    <w:uiPriority w:val="39"/>
    <w:unhideWhenUsed/>
    <w:qFormat/>
    <w:rsid w:val="00E54E73"/>
    <w:pPr>
      <w:tabs>
        <w:tab w:val="right" w:leader="dot" w:pos="9350"/>
      </w:tabs>
      <w:spacing w:after="100"/>
    </w:pPr>
    <w:rPr>
      <w:noProof/>
    </w:rPr>
  </w:style>
  <w:style w:type="paragraph" w:styleId="TOC2">
    <w:name w:val="toc 2"/>
    <w:basedOn w:val="Normal"/>
    <w:next w:val="Normal"/>
    <w:autoRedefine/>
    <w:uiPriority w:val="39"/>
    <w:unhideWhenUsed/>
    <w:qFormat/>
    <w:rsid w:val="00E54E73"/>
    <w:pPr>
      <w:spacing w:after="100"/>
      <w:ind w:left="280"/>
    </w:pPr>
  </w:style>
  <w:style w:type="paragraph" w:styleId="TOC3">
    <w:name w:val="toc 3"/>
    <w:basedOn w:val="Normal"/>
    <w:next w:val="Normal"/>
    <w:autoRedefine/>
    <w:uiPriority w:val="39"/>
    <w:unhideWhenUsed/>
    <w:qFormat/>
    <w:rsid w:val="00E54E73"/>
    <w:pPr>
      <w:spacing w:after="100"/>
      <w:ind w:left="560"/>
    </w:pPr>
  </w:style>
  <w:style w:type="character" w:styleId="Hyperlink">
    <w:name w:val="Hyperlink"/>
    <w:basedOn w:val="DefaultParagraphFont"/>
    <w:uiPriority w:val="99"/>
    <w:unhideWhenUsed/>
    <w:rsid w:val="00E54E73"/>
    <w:rPr>
      <w:color w:val="0000FF" w:themeColor="hyperlink"/>
      <w:u w:val="single"/>
    </w:rPr>
  </w:style>
  <w:style w:type="paragraph" w:styleId="BalloonText">
    <w:name w:val="Balloon Text"/>
    <w:basedOn w:val="Normal"/>
    <w:link w:val="BalloonTextChar"/>
    <w:uiPriority w:val="99"/>
    <w:semiHidden/>
    <w:unhideWhenUsed/>
    <w:rsid w:val="00E54E73"/>
    <w:rPr>
      <w:rFonts w:ascii="Tahoma" w:hAnsi="Tahoma" w:cs="Tahoma"/>
      <w:sz w:val="16"/>
      <w:szCs w:val="16"/>
    </w:rPr>
  </w:style>
  <w:style w:type="character" w:customStyle="1" w:styleId="BalloonTextChar">
    <w:name w:val="Balloon Text Char"/>
    <w:basedOn w:val="DefaultParagraphFont"/>
    <w:link w:val="BalloonText"/>
    <w:uiPriority w:val="99"/>
    <w:semiHidden/>
    <w:rsid w:val="00E54E73"/>
    <w:rPr>
      <w:rFonts w:ascii="Tahoma" w:hAnsi="Tahoma" w:cs="Tahoma"/>
      <w:sz w:val="16"/>
      <w:szCs w:val="16"/>
    </w:rPr>
  </w:style>
  <w:style w:type="character" w:customStyle="1" w:styleId="Heading4Char">
    <w:name w:val="Heading 4 Char"/>
    <w:basedOn w:val="DefaultParagraphFont"/>
    <w:link w:val="Heading4"/>
    <w:uiPriority w:val="9"/>
    <w:rsid w:val="00376A2B"/>
    <w:rPr>
      <w:rFonts w:ascii="Times New Roman" w:eastAsiaTheme="majorEastAsia" w:hAnsi="Times New Roman" w:cstheme="majorBidi"/>
      <w:b/>
      <w:bCs/>
      <w:iCs/>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E7467-4EB5-4FDA-96AD-4072A6508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5690</Words>
  <Characters>32435</Characters>
  <Application>Microsoft Office Word</Application>
  <DocSecurity>8</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Kallaugher</dc:creator>
  <cp:lastModifiedBy>Kristian Morey</cp:lastModifiedBy>
  <cp:revision>2</cp:revision>
  <cp:lastPrinted>2015-04-02T16:01:00Z</cp:lastPrinted>
  <dcterms:created xsi:type="dcterms:W3CDTF">2016-06-13T14:10:00Z</dcterms:created>
  <dcterms:modified xsi:type="dcterms:W3CDTF">2016-06-13T14:10:00Z</dcterms:modified>
</cp:coreProperties>
</file>