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45B" w:rsidRPr="00AC4AD6" w:rsidRDefault="00EA545B" w:rsidP="00EA545B">
      <w:pPr>
        <w:pStyle w:val="Heading1"/>
      </w:pPr>
      <w:bookmarkStart w:id="0" w:name="_Toc415727647"/>
      <w:bookmarkStart w:id="1" w:name="_GoBack"/>
      <w:bookmarkEnd w:id="1"/>
      <w:r w:rsidRPr="00AC4AD6">
        <w:t>The National Federation of the Blind</w:t>
      </w:r>
      <w:r w:rsidRPr="00AC4AD6">
        <w:br/>
        <w:t>T/A Blind Federation of America</w:t>
      </w:r>
      <w:bookmarkStart w:id="2" w:name="_Toc415727648"/>
      <w:bookmarkEnd w:id="0"/>
      <w:r>
        <w:br/>
        <w:t xml:space="preserve">Consolidated </w:t>
      </w:r>
      <w:r w:rsidRPr="00AC4AD6">
        <w:t>Financial Statements</w:t>
      </w:r>
      <w:bookmarkStart w:id="3" w:name="_Toc415727649"/>
      <w:bookmarkEnd w:id="2"/>
      <w:r>
        <w:br/>
      </w:r>
      <w:r w:rsidRPr="00AC4AD6">
        <w:t>December 31, 201</w:t>
      </w:r>
      <w:bookmarkEnd w:id="3"/>
      <w:r w:rsidR="00B40D61">
        <w:t>6</w:t>
      </w:r>
      <w:permStart w:id="1195251908" w:edGrp="everyone"/>
      <w:permEnd w:id="1195251908"/>
    </w:p>
    <w:p w:rsidR="00EA545B" w:rsidRDefault="00EA545B" w:rsidP="00EA545B"/>
    <w:p w:rsidR="00EA545B" w:rsidRPr="00E54E73" w:rsidRDefault="00EA545B" w:rsidP="00EA545B">
      <w:pPr>
        <w:pStyle w:val="Heading2"/>
      </w:pPr>
      <w:r>
        <w:t>Table of Contents</w:t>
      </w:r>
    </w:p>
    <w:sdt>
      <w:sdtPr>
        <w:id w:val="-1823574680"/>
        <w:docPartObj>
          <w:docPartGallery w:val="Table of Contents"/>
          <w:docPartUnique/>
        </w:docPartObj>
      </w:sdtPr>
      <w:sdtEndPr>
        <w:rPr>
          <w:b/>
          <w:bCs/>
          <w:noProof/>
        </w:rPr>
      </w:sdtEndPr>
      <w:sdtContent>
        <w:p w:rsidR="00EA545B" w:rsidRPr="00E54E73" w:rsidRDefault="00EA545B" w:rsidP="00EA545B">
          <w:pPr>
            <w:rPr>
              <w:rStyle w:val="Heading1Char"/>
            </w:rPr>
          </w:pPr>
        </w:p>
        <w:p w:rsidR="00EA545B" w:rsidRDefault="00EA545B" w:rsidP="00FA0F5C">
          <w:pPr>
            <w:pStyle w:val="TOC1"/>
          </w:pPr>
          <w:r>
            <w:fldChar w:fldCharType="begin"/>
          </w:r>
          <w:r>
            <w:instrText xml:space="preserve"> TOC \o "1-3" \h \z \u </w:instrText>
          </w:r>
          <w:r>
            <w:fldChar w:fldCharType="separate"/>
          </w:r>
          <w:hyperlink w:anchor="_Toc415727650" w:history="1">
            <w:r w:rsidRPr="00E54E73">
              <w:rPr>
                <w:rStyle w:val="Hyperlink"/>
              </w:rPr>
              <w:t>Independent Auditors' Report</w:t>
            </w:r>
            <w:r>
              <w:rPr>
                <w:webHidden/>
              </w:rPr>
              <w:tab/>
            </w:r>
            <w:r>
              <w:rPr>
                <w:webHidden/>
              </w:rPr>
              <w:fldChar w:fldCharType="begin"/>
            </w:r>
            <w:r>
              <w:rPr>
                <w:webHidden/>
              </w:rPr>
              <w:instrText xml:space="preserve"> PAGEREF _Toc415727650 \h </w:instrText>
            </w:r>
            <w:r>
              <w:rPr>
                <w:webHidden/>
              </w:rPr>
            </w:r>
            <w:r>
              <w:rPr>
                <w:webHidden/>
              </w:rPr>
              <w:fldChar w:fldCharType="separate"/>
            </w:r>
            <w:r w:rsidR="00FA0F5C">
              <w:rPr>
                <w:webHidden/>
              </w:rPr>
              <w:t>2</w:t>
            </w:r>
            <w:r>
              <w:rPr>
                <w:webHidden/>
              </w:rPr>
              <w:fldChar w:fldCharType="end"/>
            </w:r>
          </w:hyperlink>
        </w:p>
        <w:p w:rsidR="00EA545B" w:rsidRPr="00E54E73" w:rsidRDefault="00EA545B" w:rsidP="00FA0F5C">
          <w:pPr>
            <w:pStyle w:val="TOC1"/>
            <w:rPr>
              <w:rStyle w:val="Hyperlink"/>
            </w:rPr>
          </w:pPr>
          <w:r w:rsidRPr="00FA0F5C">
            <w:rPr>
              <w:rStyle w:val="Hyperlink"/>
              <w:color w:val="auto"/>
            </w:rPr>
            <w:t>Consolidated Financial Statements:</w:t>
          </w:r>
        </w:p>
        <w:p w:rsidR="00EA545B" w:rsidRDefault="00EA545B" w:rsidP="00FA0F5C">
          <w:pPr>
            <w:pStyle w:val="TOC1"/>
          </w:pPr>
          <w:r>
            <w:t xml:space="preserve">Consolidated </w:t>
          </w:r>
          <w:hyperlink w:anchor="_Toc415727654" w:history="1">
            <w:r w:rsidRPr="00912792">
              <w:rPr>
                <w:rStyle w:val="Hyperlink"/>
              </w:rPr>
              <w:t>Statement of Financial Position</w:t>
            </w:r>
            <w:r>
              <w:rPr>
                <w:webHidden/>
              </w:rPr>
              <w:tab/>
            </w:r>
            <w:r>
              <w:rPr>
                <w:webHidden/>
              </w:rPr>
              <w:fldChar w:fldCharType="begin"/>
            </w:r>
            <w:r>
              <w:rPr>
                <w:webHidden/>
              </w:rPr>
              <w:instrText xml:space="preserve"> PAGEREF _Toc415727654 \h </w:instrText>
            </w:r>
            <w:r>
              <w:rPr>
                <w:webHidden/>
              </w:rPr>
            </w:r>
            <w:r>
              <w:rPr>
                <w:webHidden/>
              </w:rPr>
              <w:fldChar w:fldCharType="separate"/>
            </w:r>
            <w:r w:rsidR="00FA0F5C">
              <w:rPr>
                <w:webHidden/>
              </w:rPr>
              <w:t>4</w:t>
            </w:r>
            <w:r>
              <w:rPr>
                <w:webHidden/>
              </w:rPr>
              <w:fldChar w:fldCharType="end"/>
            </w:r>
          </w:hyperlink>
        </w:p>
        <w:p w:rsidR="00EA545B" w:rsidRDefault="00EA545B" w:rsidP="00FA0F5C">
          <w:pPr>
            <w:pStyle w:val="TOC1"/>
          </w:pPr>
          <w:r>
            <w:t xml:space="preserve">Consolidated </w:t>
          </w:r>
          <w:hyperlink w:anchor="_Toc415727659" w:history="1">
            <w:r w:rsidRPr="00912792">
              <w:rPr>
                <w:rStyle w:val="Hyperlink"/>
              </w:rPr>
              <w:t>Statements of Activities</w:t>
            </w:r>
            <w:r>
              <w:rPr>
                <w:webHidden/>
              </w:rPr>
              <w:tab/>
            </w:r>
            <w:r>
              <w:rPr>
                <w:webHidden/>
              </w:rPr>
              <w:fldChar w:fldCharType="begin"/>
            </w:r>
            <w:r>
              <w:rPr>
                <w:webHidden/>
              </w:rPr>
              <w:instrText xml:space="preserve"> PAGEREF _Toc415727659 \h </w:instrText>
            </w:r>
            <w:r>
              <w:rPr>
                <w:webHidden/>
              </w:rPr>
            </w:r>
            <w:r>
              <w:rPr>
                <w:webHidden/>
              </w:rPr>
              <w:fldChar w:fldCharType="separate"/>
            </w:r>
            <w:r w:rsidR="00FA0F5C">
              <w:rPr>
                <w:webHidden/>
              </w:rPr>
              <w:t>5</w:t>
            </w:r>
            <w:r>
              <w:rPr>
                <w:webHidden/>
              </w:rPr>
              <w:fldChar w:fldCharType="end"/>
            </w:r>
          </w:hyperlink>
        </w:p>
        <w:p w:rsidR="00EA545B" w:rsidRDefault="00EA545B" w:rsidP="00FA0F5C">
          <w:pPr>
            <w:pStyle w:val="TOC1"/>
          </w:pPr>
          <w:r>
            <w:t xml:space="preserve">Consolidated </w:t>
          </w:r>
          <w:hyperlink w:anchor="_Toc415727665" w:history="1">
            <w:r w:rsidRPr="00912792">
              <w:rPr>
                <w:rStyle w:val="Hyperlink"/>
              </w:rPr>
              <w:t>Statements of Functional Expenses</w:t>
            </w:r>
            <w:r>
              <w:rPr>
                <w:webHidden/>
              </w:rPr>
              <w:tab/>
            </w:r>
            <w:r>
              <w:rPr>
                <w:webHidden/>
              </w:rPr>
              <w:fldChar w:fldCharType="begin"/>
            </w:r>
            <w:r>
              <w:rPr>
                <w:webHidden/>
              </w:rPr>
              <w:instrText xml:space="preserve"> PAGEREF _Toc415727665 \h </w:instrText>
            </w:r>
            <w:r>
              <w:rPr>
                <w:webHidden/>
              </w:rPr>
            </w:r>
            <w:r>
              <w:rPr>
                <w:webHidden/>
              </w:rPr>
              <w:fldChar w:fldCharType="separate"/>
            </w:r>
            <w:r w:rsidR="00FA0F5C">
              <w:rPr>
                <w:webHidden/>
              </w:rPr>
              <w:t>7</w:t>
            </w:r>
            <w:r>
              <w:rPr>
                <w:webHidden/>
              </w:rPr>
              <w:fldChar w:fldCharType="end"/>
            </w:r>
          </w:hyperlink>
        </w:p>
        <w:p w:rsidR="00EA545B" w:rsidRDefault="00EA545B" w:rsidP="00FA0F5C">
          <w:pPr>
            <w:pStyle w:val="TOC1"/>
          </w:pPr>
          <w:r>
            <w:t xml:space="preserve">Consolidated </w:t>
          </w:r>
          <w:hyperlink w:anchor="_Toc415727669" w:history="1">
            <w:r w:rsidRPr="00912792">
              <w:rPr>
                <w:rStyle w:val="Hyperlink"/>
              </w:rPr>
              <w:t>Statement of Cash Flows</w:t>
            </w:r>
            <w:r>
              <w:rPr>
                <w:webHidden/>
              </w:rPr>
              <w:tab/>
            </w:r>
            <w:r>
              <w:rPr>
                <w:webHidden/>
              </w:rPr>
              <w:fldChar w:fldCharType="begin"/>
            </w:r>
            <w:r>
              <w:rPr>
                <w:webHidden/>
              </w:rPr>
              <w:instrText xml:space="preserve"> PAGEREF _Toc415727669 \h </w:instrText>
            </w:r>
            <w:r>
              <w:rPr>
                <w:webHidden/>
              </w:rPr>
            </w:r>
            <w:r>
              <w:rPr>
                <w:webHidden/>
              </w:rPr>
              <w:fldChar w:fldCharType="separate"/>
            </w:r>
            <w:r w:rsidR="00FA0F5C">
              <w:rPr>
                <w:webHidden/>
              </w:rPr>
              <w:t>9</w:t>
            </w:r>
            <w:r>
              <w:rPr>
                <w:webHidden/>
              </w:rPr>
              <w:fldChar w:fldCharType="end"/>
            </w:r>
          </w:hyperlink>
        </w:p>
        <w:p w:rsidR="00EA545B" w:rsidRDefault="007A7CBE" w:rsidP="00FA0F5C">
          <w:pPr>
            <w:pStyle w:val="TOC1"/>
          </w:pPr>
          <w:hyperlink w:anchor="_Toc415727676" w:history="1">
            <w:r w:rsidR="00EA545B">
              <w:rPr>
                <w:rStyle w:val="Hyperlink"/>
              </w:rPr>
              <w:t>Notes to Consolidated Financial Statements</w:t>
            </w:r>
            <w:r w:rsidR="00EA545B">
              <w:rPr>
                <w:webHidden/>
              </w:rPr>
              <w:tab/>
            </w:r>
            <w:r w:rsidR="00EA545B">
              <w:rPr>
                <w:webHidden/>
              </w:rPr>
              <w:fldChar w:fldCharType="begin"/>
            </w:r>
            <w:r w:rsidR="00EA545B">
              <w:rPr>
                <w:webHidden/>
              </w:rPr>
              <w:instrText xml:space="preserve"> PAGEREF _Toc415727676 \h </w:instrText>
            </w:r>
            <w:r w:rsidR="00EA545B">
              <w:rPr>
                <w:webHidden/>
              </w:rPr>
            </w:r>
            <w:r w:rsidR="00EA545B">
              <w:rPr>
                <w:webHidden/>
              </w:rPr>
              <w:fldChar w:fldCharType="separate"/>
            </w:r>
            <w:r w:rsidR="00FA0F5C">
              <w:rPr>
                <w:webHidden/>
              </w:rPr>
              <w:t>10</w:t>
            </w:r>
            <w:r w:rsidR="00EA545B">
              <w:rPr>
                <w:webHidden/>
              </w:rPr>
              <w:fldChar w:fldCharType="end"/>
            </w:r>
          </w:hyperlink>
        </w:p>
        <w:p w:rsidR="00EA545B" w:rsidRDefault="00EA545B" w:rsidP="00EA545B">
          <w:r>
            <w:rPr>
              <w:b/>
              <w:bCs/>
              <w:noProof/>
            </w:rPr>
            <w:fldChar w:fldCharType="end"/>
          </w:r>
        </w:p>
      </w:sdtContent>
    </w:sdt>
    <w:p w:rsidR="00EA545B" w:rsidRDefault="00EA545B" w:rsidP="00EA545B">
      <w:pPr>
        <w:rPr>
          <w:rFonts w:eastAsiaTheme="majorEastAsia"/>
        </w:rPr>
      </w:pPr>
      <w:bookmarkStart w:id="4" w:name="_Toc415727650"/>
      <w:r>
        <w:br w:type="page"/>
      </w:r>
    </w:p>
    <w:p w:rsidR="00EA545B" w:rsidRPr="00AC4AD6" w:rsidRDefault="00EA545B" w:rsidP="00EA545B">
      <w:pPr>
        <w:pStyle w:val="Heading2"/>
      </w:pPr>
      <w:r w:rsidRPr="00AC4AD6">
        <w:lastRenderedPageBreak/>
        <w:t>Independent Auditors' Report</w:t>
      </w:r>
      <w:bookmarkEnd w:id="4"/>
    </w:p>
    <w:p w:rsidR="00EA545B" w:rsidRPr="00AC4AD6" w:rsidRDefault="00EA545B" w:rsidP="00EA545B"/>
    <w:p w:rsidR="00EA545B" w:rsidRPr="00AC4AD6" w:rsidRDefault="00EA545B" w:rsidP="00EA545B">
      <w:r w:rsidRPr="00AC4AD6">
        <w:t xml:space="preserve">To the Board of Directors and Officers of </w:t>
      </w:r>
    </w:p>
    <w:p w:rsidR="00EA545B" w:rsidRPr="00AC4AD6" w:rsidRDefault="00EA545B" w:rsidP="00EA545B">
      <w:r w:rsidRPr="00AC4AD6">
        <w:t>The National Federation of the Blind T/A Blind Federation of America</w:t>
      </w:r>
    </w:p>
    <w:p w:rsidR="00EA545B" w:rsidRPr="00AC4AD6" w:rsidRDefault="00EA545B" w:rsidP="00EA545B"/>
    <w:p w:rsidR="00EA545B" w:rsidRPr="00AC4AD6" w:rsidRDefault="00EA545B" w:rsidP="00EA545B">
      <w:pPr>
        <w:spacing w:after="240"/>
      </w:pPr>
      <w:r w:rsidRPr="00AC4AD6">
        <w:t xml:space="preserve">We have audited the accompanying </w:t>
      </w:r>
      <w:r>
        <w:t xml:space="preserve">consolidated </w:t>
      </w:r>
      <w:r w:rsidRPr="00AC4AD6">
        <w:t>financial statements of The National Federation of the Blind T/A Blind Federation of America (a nonprofit organization), which comprise the</w:t>
      </w:r>
      <w:r>
        <w:t xml:space="preserve"> consolidated</w:t>
      </w:r>
      <w:r w:rsidRPr="00AC4AD6">
        <w:t xml:space="preserve"> statement of financial position as of </w:t>
      </w:r>
      <w:r w:rsidR="00B40D61">
        <w:t>December 31, 2016</w:t>
      </w:r>
      <w:r w:rsidRPr="00AC4AD6">
        <w:t xml:space="preserve">, and the related </w:t>
      </w:r>
      <w:r>
        <w:t xml:space="preserve">consolidated </w:t>
      </w:r>
      <w:r w:rsidRPr="00AC4AD6">
        <w:t>statements of activities, functional expenses and cash flows for the year then ended, and the related not</w:t>
      </w:r>
      <w:r>
        <w:t>es to the consolidated financial statements.</w:t>
      </w:r>
    </w:p>
    <w:p w:rsidR="00EA545B" w:rsidRPr="00C34431" w:rsidRDefault="00EA545B" w:rsidP="00EA545B">
      <w:pPr>
        <w:pStyle w:val="Heading3"/>
      </w:pPr>
      <w:bookmarkStart w:id="5" w:name="_Toc415727651"/>
      <w:r w:rsidRPr="00C34431">
        <w:t xml:space="preserve">Management's Responsibility for the </w:t>
      </w:r>
      <w:r>
        <w:t xml:space="preserve">Consolidated </w:t>
      </w:r>
      <w:r w:rsidRPr="00C34431">
        <w:t>Financial Statements</w:t>
      </w:r>
      <w:bookmarkEnd w:id="5"/>
    </w:p>
    <w:p w:rsidR="00EA545B" w:rsidRPr="00AC4AD6" w:rsidRDefault="00EA545B" w:rsidP="00EA545B">
      <w:pPr>
        <w:pStyle w:val="NoSpacing"/>
      </w:pPr>
      <w:r w:rsidRPr="00AC4AD6">
        <w:t xml:space="preserve">Management is responsible for the preparation and fair presentation of these </w:t>
      </w:r>
      <w:r>
        <w:t xml:space="preserve">consolidated </w:t>
      </w:r>
      <w:r w:rsidRPr="00AC4AD6">
        <w:t>financial st</w:t>
      </w:r>
      <w:r>
        <w:t xml:space="preserve">atements in accordance with </w:t>
      </w:r>
      <w:r w:rsidRPr="00AC4AD6">
        <w:t xml:space="preserve">accounting principles generally accepted in the United States of America; this includes the design, implementation and maintenance of internal control relevant to the preparation and fair presentation of </w:t>
      </w:r>
      <w:r>
        <w:t xml:space="preserve">consolidated </w:t>
      </w:r>
      <w:r w:rsidRPr="00AC4AD6">
        <w:t>financial statements that are free from material misstatement,</w:t>
      </w:r>
      <w:r>
        <w:t xml:space="preserve"> whether due to fraud or error.</w:t>
      </w:r>
    </w:p>
    <w:p w:rsidR="00EA545B" w:rsidRPr="00C34431" w:rsidRDefault="00EA545B" w:rsidP="00EA545B">
      <w:pPr>
        <w:pStyle w:val="Heading3"/>
      </w:pPr>
      <w:bookmarkStart w:id="6" w:name="_Toc415727652"/>
      <w:r w:rsidRPr="00C34431">
        <w:t>Auditor's Responsibility</w:t>
      </w:r>
      <w:bookmarkEnd w:id="6"/>
      <w:r w:rsidRPr="00C34431">
        <w:t xml:space="preserve">  </w:t>
      </w:r>
    </w:p>
    <w:p w:rsidR="00EA545B" w:rsidRPr="00AC4AD6" w:rsidRDefault="00EA545B" w:rsidP="00EA545B">
      <w:pPr>
        <w:pStyle w:val="NoSpacing"/>
      </w:pPr>
      <w:r w:rsidRPr="00AC4AD6">
        <w:t>Our responsibility is to express an opinion on these</w:t>
      </w:r>
      <w:r>
        <w:t xml:space="preserve"> consolidated</w:t>
      </w:r>
      <w:r w:rsidRPr="00AC4AD6">
        <w:t xml:space="preserve"> financial statements based on our audit. We conducted our audit in accordance with auditing standards generally accepted in the United States of America. Those standards require that we plan and perform the audit to obtain reasonable assurance about whether the </w:t>
      </w:r>
      <w:r>
        <w:t xml:space="preserve">consolidated </w:t>
      </w:r>
      <w:r w:rsidRPr="00AC4AD6">
        <w:t>financial statements are f</w:t>
      </w:r>
      <w:r>
        <w:t>ree from material misstatement.</w:t>
      </w:r>
    </w:p>
    <w:p w:rsidR="00EA545B" w:rsidRPr="00AC4AD6" w:rsidRDefault="00EA545B" w:rsidP="00EA545B">
      <w:pPr>
        <w:pStyle w:val="NoSpacing"/>
      </w:pPr>
      <w:r w:rsidRPr="00AC4AD6">
        <w:t xml:space="preserve">An audit involves performing procedures to obtain audit evidence about the amounts and disclosures in the </w:t>
      </w:r>
      <w:r>
        <w:t xml:space="preserve">consolidated </w:t>
      </w:r>
      <w:r w:rsidRPr="00AC4AD6">
        <w:t xml:space="preserve">financial statements. The procedures selected depend on the auditor's judgment, including the assessment of the risks of material misstatement of the </w:t>
      </w:r>
      <w:r>
        <w:t xml:space="preserve">consolidated </w:t>
      </w:r>
      <w:r w:rsidRPr="00AC4AD6">
        <w:t xml:space="preserve">financial statements, whether due to fraud or error. In making those risk assessments, the auditor considers internal control relevant to the entity's preparation and fair presentation of the </w:t>
      </w:r>
      <w:r>
        <w:t xml:space="preserve">consolidated </w:t>
      </w:r>
      <w:r w:rsidRPr="00AC4AD6">
        <w:t>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w:t>
      </w:r>
      <w:r>
        <w:t>on of the consolidated financial statements.</w:t>
      </w:r>
    </w:p>
    <w:p w:rsidR="00EA545B" w:rsidRPr="00AC4AD6" w:rsidRDefault="00EA545B" w:rsidP="00EA545B">
      <w:pPr>
        <w:pStyle w:val="NoSpacing"/>
      </w:pPr>
      <w:r w:rsidRPr="00AC4AD6">
        <w:lastRenderedPageBreak/>
        <w:t>We believe that the audit evidence we have obtained is sufficient and appropriate to provide a basis for our au</w:t>
      </w:r>
      <w:r>
        <w:t>dit opinion.</w:t>
      </w:r>
    </w:p>
    <w:p w:rsidR="00EA545B" w:rsidRPr="00C34431" w:rsidRDefault="00EA545B" w:rsidP="00EA545B">
      <w:pPr>
        <w:pStyle w:val="Heading3"/>
      </w:pPr>
      <w:bookmarkStart w:id="7" w:name="_Toc415727653"/>
      <w:r w:rsidRPr="00C34431">
        <w:t>Opinion</w:t>
      </w:r>
      <w:bookmarkEnd w:id="7"/>
    </w:p>
    <w:p w:rsidR="00EA545B" w:rsidRPr="00AC4AD6" w:rsidRDefault="00EA545B" w:rsidP="00EA545B">
      <w:pPr>
        <w:pStyle w:val="NoSpacing"/>
      </w:pPr>
      <w:r w:rsidRPr="00AC4AD6">
        <w:t xml:space="preserve">In our opinion, the </w:t>
      </w:r>
      <w:r>
        <w:t xml:space="preserve">consolidated </w:t>
      </w:r>
      <w:r w:rsidRPr="00AC4AD6">
        <w:t>financial statements referred to above present fairly, in all material respects, the financial position of The National Federation of the Blind T/A Blind</w:t>
      </w:r>
      <w:r>
        <w:t xml:space="preserve"> </w:t>
      </w:r>
      <w:r w:rsidRPr="00AC4AD6">
        <w:t>Federation of</w:t>
      </w:r>
      <w:r w:rsidR="00DB3F85">
        <w:t xml:space="preserve"> America as of December 31, 2016</w:t>
      </w:r>
      <w:r w:rsidRPr="00AC4AD6">
        <w:t xml:space="preserve">, and the </w:t>
      </w:r>
      <w:r>
        <w:t>changes</w:t>
      </w:r>
      <w:r w:rsidRPr="00AC4AD6">
        <w:t xml:space="preserve"> </w:t>
      </w:r>
      <w:r>
        <w:t>in its net assets and its</w:t>
      </w:r>
      <w:r w:rsidRPr="00AC4AD6">
        <w:t xml:space="preserve"> cash flows for the year then ended in accordance with accounting principles generally accepted in the United States of America.</w:t>
      </w:r>
    </w:p>
    <w:p w:rsidR="00EA545B" w:rsidRPr="00AC4AD6" w:rsidRDefault="00EA545B" w:rsidP="00EA545B">
      <w:pPr>
        <w:pStyle w:val="NoSpacing"/>
      </w:pPr>
    </w:p>
    <w:p w:rsidR="00EA545B" w:rsidRPr="00AC4AD6" w:rsidRDefault="00EA545B" w:rsidP="00EA545B">
      <w:pPr>
        <w:pStyle w:val="NoSpacing"/>
      </w:pPr>
      <w:r w:rsidRPr="00AC4AD6">
        <w:t xml:space="preserve">Rosen, Sapperstein &amp; Friedlander, </w:t>
      </w:r>
      <w:r>
        <w:t>LLC</w:t>
      </w:r>
    </w:p>
    <w:p w:rsidR="00EA545B" w:rsidRPr="00AC4AD6" w:rsidRDefault="00DB3F85" w:rsidP="00EA545B">
      <w:pPr>
        <w:pStyle w:val="NoSpacing"/>
      </w:pPr>
      <w:r>
        <w:t>March 10, 2017</w:t>
      </w:r>
    </w:p>
    <w:p w:rsidR="00EA545B" w:rsidRDefault="00EA545B" w:rsidP="00EA545B">
      <w:pPr>
        <w:spacing w:after="200" w:line="276" w:lineRule="auto"/>
      </w:pPr>
      <w:r>
        <w:br w:type="page"/>
      </w:r>
    </w:p>
    <w:p w:rsidR="00EA545B" w:rsidRDefault="00EA545B" w:rsidP="00EA545B">
      <w:pPr>
        <w:pStyle w:val="Heading1"/>
        <w:sectPr w:rsidR="00EA545B" w:rsidSect="00B40D61">
          <w:footerReference w:type="default" r:id="rId8"/>
          <w:footerReference w:type="first" r:id="rId9"/>
          <w:pgSz w:w="12240" w:h="15840"/>
          <w:pgMar w:top="1080" w:right="1440" w:bottom="1440" w:left="1440" w:header="720" w:footer="720" w:gutter="0"/>
          <w:cols w:space="720"/>
          <w:docGrid w:linePitch="381"/>
        </w:sectPr>
      </w:pPr>
    </w:p>
    <w:p w:rsidR="00EA545B" w:rsidRPr="00130613" w:rsidRDefault="00EA545B" w:rsidP="00EA545B">
      <w:pPr>
        <w:pStyle w:val="Heading2"/>
      </w:pPr>
      <w:bookmarkStart w:id="8" w:name="_Toc415727654"/>
      <w:r w:rsidRPr="00130613">
        <w:lastRenderedPageBreak/>
        <w:t>The National Federation of the Blind</w:t>
      </w:r>
      <w:r w:rsidRPr="00130613">
        <w:br/>
        <w:t>T/A Blind Federation of America</w:t>
      </w:r>
      <w:r w:rsidRPr="00130613">
        <w:br/>
      </w:r>
      <w:r>
        <w:t xml:space="preserve">Consolidated </w:t>
      </w:r>
      <w:r w:rsidRPr="00130613">
        <w:t>Statement of Financial Position</w:t>
      </w:r>
      <w:r w:rsidRPr="00130613">
        <w:br/>
        <w:t>December 31, 201</w:t>
      </w:r>
      <w:bookmarkEnd w:id="8"/>
      <w:r w:rsidR="00DB3F85">
        <w:t>6</w:t>
      </w:r>
    </w:p>
    <w:p w:rsidR="00EA545B" w:rsidRPr="00AC4AD6" w:rsidRDefault="00EA545B" w:rsidP="00EA545B">
      <w:pPr>
        <w:pStyle w:val="NoSpacing"/>
      </w:pPr>
      <w:r w:rsidRPr="00AC4AD6">
        <w:tab/>
      </w:r>
      <w:r w:rsidRPr="00AC4AD6">
        <w:tab/>
      </w:r>
      <w:r w:rsidRPr="00AC4AD6">
        <w:tab/>
      </w:r>
      <w:r w:rsidRPr="00AC4AD6">
        <w:tab/>
      </w:r>
      <w:r w:rsidRPr="00AC4AD6">
        <w:tab/>
      </w:r>
      <w:r w:rsidRPr="00AC4AD6">
        <w:tab/>
      </w:r>
      <w:r w:rsidRPr="00AC4AD6">
        <w:tab/>
      </w:r>
      <w:r w:rsidRPr="00AC4AD6">
        <w:tab/>
      </w:r>
      <w:r w:rsidRPr="00AC4AD6">
        <w:tab/>
      </w:r>
    </w:p>
    <w:p w:rsidR="00EA545B" w:rsidRPr="00C0182E" w:rsidRDefault="00EA545B" w:rsidP="00EA545B">
      <w:pPr>
        <w:pStyle w:val="Heading3"/>
      </w:pPr>
      <w:bookmarkStart w:id="9" w:name="_Toc415727655"/>
      <w:r w:rsidRPr="00C0182E">
        <w:t>ASSETS</w:t>
      </w:r>
      <w:bookmarkEnd w:id="9"/>
    </w:p>
    <w:tbl>
      <w:tblPr>
        <w:tblStyle w:val="TableGrid"/>
        <w:tblW w:w="0" w:type="auto"/>
        <w:tblLook w:val="0440" w:firstRow="0" w:lastRow="1" w:firstColumn="0" w:lastColumn="0" w:noHBand="0" w:noVBand="1"/>
      </w:tblPr>
      <w:tblGrid>
        <w:gridCol w:w="7938"/>
        <w:gridCol w:w="1638"/>
      </w:tblGrid>
      <w:tr w:rsidR="00EA545B" w:rsidRPr="00AC4AD6" w:rsidTr="00B40D61">
        <w:tc>
          <w:tcPr>
            <w:tcW w:w="7938" w:type="dxa"/>
            <w:vAlign w:val="center"/>
          </w:tcPr>
          <w:p w:rsidR="00EA545B" w:rsidRPr="00AC4AD6" w:rsidRDefault="00EA545B" w:rsidP="00B40D61">
            <w:pPr>
              <w:pStyle w:val="NoSpacing"/>
              <w:spacing w:after="0"/>
            </w:pPr>
            <w:r w:rsidRPr="00AC4AD6">
              <w:t>Ca</w:t>
            </w:r>
            <w:r>
              <w:t>sh and cash equivalents</w:t>
            </w:r>
          </w:p>
        </w:tc>
        <w:tc>
          <w:tcPr>
            <w:tcW w:w="1638" w:type="dxa"/>
            <w:vAlign w:val="center"/>
          </w:tcPr>
          <w:p w:rsidR="00EA545B" w:rsidRPr="00AC4AD6" w:rsidRDefault="00DB3F85" w:rsidP="00B40D61">
            <w:pPr>
              <w:pStyle w:val="NoSpacing"/>
              <w:spacing w:after="0"/>
              <w:jc w:val="right"/>
            </w:pPr>
            <w:r>
              <w:t>$4,959,437</w:t>
            </w:r>
          </w:p>
        </w:tc>
      </w:tr>
      <w:tr w:rsidR="00EA545B" w:rsidRPr="00AC4AD6" w:rsidTr="00B40D61">
        <w:tc>
          <w:tcPr>
            <w:tcW w:w="7938" w:type="dxa"/>
            <w:vAlign w:val="center"/>
          </w:tcPr>
          <w:p w:rsidR="00EA545B" w:rsidRPr="00AC4AD6" w:rsidRDefault="00EA545B" w:rsidP="00B40D61">
            <w:pPr>
              <w:pStyle w:val="NoSpacing"/>
              <w:spacing w:after="0"/>
            </w:pPr>
            <w:r w:rsidRPr="00AC4AD6">
              <w:t xml:space="preserve">Prepaid expenses </w:t>
            </w:r>
          </w:p>
        </w:tc>
        <w:tc>
          <w:tcPr>
            <w:tcW w:w="1638" w:type="dxa"/>
            <w:vAlign w:val="center"/>
          </w:tcPr>
          <w:p w:rsidR="00EA545B" w:rsidRPr="00AC4AD6" w:rsidRDefault="00DB3F85" w:rsidP="00B40D61">
            <w:pPr>
              <w:pStyle w:val="NoSpacing"/>
              <w:spacing w:after="0"/>
              <w:jc w:val="right"/>
            </w:pPr>
            <w:r>
              <w:t>232,92</w:t>
            </w:r>
            <w:r w:rsidR="00EA545B">
              <w:t>0</w:t>
            </w:r>
          </w:p>
        </w:tc>
      </w:tr>
      <w:tr w:rsidR="00EA545B" w:rsidRPr="00AC4AD6" w:rsidTr="00B40D61">
        <w:tc>
          <w:tcPr>
            <w:tcW w:w="7938" w:type="dxa"/>
            <w:vAlign w:val="center"/>
          </w:tcPr>
          <w:p w:rsidR="00EA545B" w:rsidRPr="00AC4AD6" w:rsidRDefault="00EA545B" w:rsidP="00B40D61">
            <w:pPr>
              <w:pStyle w:val="NoSpacing"/>
              <w:spacing w:after="0"/>
            </w:pPr>
            <w:r>
              <w:t>Notes receivable</w:t>
            </w:r>
          </w:p>
        </w:tc>
        <w:tc>
          <w:tcPr>
            <w:tcW w:w="1638" w:type="dxa"/>
            <w:vAlign w:val="center"/>
          </w:tcPr>
          <w:p w:rsidR="00EA545B" w:rsidRPr="00AC4AD6" w:rsidRDefault="00DB3F85" w:rsidP="00B40D61">
            <w:pPr>
              <w:pStyle w:val="NoSpacing"/>
              <w:spacing w:after="0"/>
              <w:jc w:val="right"/>
            </w:pPr>
            <w:r>
              <w:t>98,453</w:t>
            </w:r>
          </w:p>
        </w:tc>
      </w:tr>
      <w:tr w:rsidR="00EA545B" w:rsidRPr="00AC4AD6" w:rsidTr="00B40D61">
        <w:tc>
          <w:tcPr>
            <w:tcW w:w="7938" w:type="dxa"/>
            <w:vAlign w:val="center"/>
          </w:tcPr>
          <w:p w:rsidR="00EA545B" w:rsidRPr="00AC4AD6" w:rsidRDefault="00EA545B" w:rsidP="00B40D61">
            <w:pPr>
              <w:pStyle w:val="NoSpacing"/>
              <w:spacing w:after="0"/>
            </w:pPr>
            <w:r w:rsidRPr="00AC4AD6">
              <w:t>O</w:t>
            </w:r>
            <w:r>
              <w:t>ther receivables</w:t>
            </w:r>
          </w:p>
        </w:tc>
        <w:tc>
          <w:tcPr>
            <w:tcW w:w="1638" w:type="dxa"/>
            <w:vAlign w:val="center"/>
          </w:tcPr>
          <w:p w:rsidR="00EA545B" w:rsidRPr="00AC4AD6" w:rsidRDefault="00DB3F85" w:rsidP="00B40D61">
            <w:pPr>
              <w:pStyle w:val="NoSpacing"/>
              <w:spacing w:after="0"/>
              <w:jc w:val="right"/>
            </w:pPr>
            <w:r>
              <w:t>395</w:t>
            </w:r>
            <w:r w:rsidR="00EA545B">
              <w:t>,</w:t>
            </w:r>
            <w:r>
              <w:t>941</w:t>
            </w:r>
          </w:p>
        </w:tc>
      </w:tr>
      <w:tr w:rsidR="00EA545B" w:rsidRPr="00AC4AD6" w:rsidTr="00B40D61">
        <w:tc>
          <w:tcPr>
            <w:tcW w:w="7938" w:type="dxa"/>
            <w:vAlign w:val="center"/>
          </w:tcPr>
          <w:p w:rsidR="00EA545B" w:rsidRPr="00AC4AD6" w:rsidRDefault="00EA545B" w:rsidP="00B40D61">
            <w:pPr>
              <w:pStyle w:val="NoSpacing"/>
              <w:spacing w:after="0"/>
            </w:pPr>
            <w:r w:rsidRPr="00AC4AD6">
              <w:t>I</w:t>
            </w:r>
            <w:r>
              <w:t xml:space="preserve">nvestments </w:t>
            </w:r>
          </w:p>
        </w:tc>
        <w:tc>
          <w:tcPr>
            <w:tcW w:w="1638" w:type="dxa"/>
            <w:vAlign w:val="center"/>
          </w:tcPr>
          <w:p w:rsidR="00EA545B" w:rsidRPr="00AC4AD6" w:rsidRDefault="00DB3F85" w:rsidP="00B40D61">
            <w:pPr>
              <w:pStyle w:val="NoSpacing"/>
              <w:spacing w:after="0"/>
              <w:jc w:val="right"/>
            </w:pPr>
            <w:r>
              <w:t>14,355,830</w:t>
            </w:r>
          </w:p>
        </w:tc>
      </w:tr>
      <w:tr w:rsidR="00EA545B" w:rsidRPr="00AC4AD6" w:rsidTr="00B40D61">
        <w:tc>
          <w:tcPr>
            <w:tcW w:w="7938" w:type="dxa"/>
            <w:vAlign w:val="center"/>
          </w:tcPr>
          <w:p w:rsidR="00EA545B" w:rsidRPr="00AC4AD6" w:rsidRDefault="00EA545B" w:rsidP="00B40D61">
            <w:pPr>
              <w:pStyle w:val="NoSpacing"/>
              <w:spacing w:after="0"/>
            </w:pPr>
            <w:r w:rsidRPr="00AC4AD6">
              <w:t xml:space="preserve">Other investments </w:t>
            </w:r>
            <w:r>
              <w:t>- life insurance</w:t>
            </w:r>
          </w:p>
        </w:tc>
        <w:tc>
          <w:tcPr>
            <w:tcW w:w="1638" w:type="dxa"/>
            <w:vAlign w:val="center"/>
          </w:tcPr>
          <w:p w:rsidR="00EA545B" w:rsidRPr="00AC4AD6" w:rsidRDefault="00DB3F85" w:rsidP="00B40D61">
            <w:pPr>
              <w:pStyle w:val="NoSpacing"/>
              <w:spacing w:after="0"/>
              <w:jc w:val="right"/>
            </w:pPr>
            <w:r>
              <w:t>2,555,672</w:t>
            </w:r>
          </w:p>
        </w:tc>
      </w:tr>
      <w:tr w:rsidR="00EA545B" w:rsidRPr="00DB3F85" w:rsidTr="00B40D61">
        <w:tc>
          <w:tcPr>
            <w:tcW w:w="7938" w:type="dxa"/>
            <w:vAlign w:val="center"/>
          </w:tcPr>
          <w:p w:rsidR="00EA545B" w:rsidRPr="00AC4AD6" w:rsidRDefault="00EA545B" w:rsidP="00B40D61">
            <w:pPr>
              <w:pStyle w:val="NoSpacing"/>
              <w:spacing w:after="0"/>
            </w:pPr>
            <w:r w:rsidRPr="00AC4AD6">
              <w:t>Property and</w:t>
            </w:r>
            <w:r>
              <w:t xml:space="preserve"> equipment - net </w:t>
            </w:r>
          </w:p>
        </w:tc>
        <w:tc>
          <w:tcPr>
            <w:tcW w:w="1638" w:type="dxa"/>
            <w:vAlign w:val="center"/>
          </w:tcPr>
          <w:p w:rsidR="00EA545B" w:rsidRPr="00DB3F85" w:rsidRDefault="00DB3F85" w:rsidP="00B40D61">
            <w:pPr>
              <w:pStyle w:val="NoSpacing"/>
              <w:spacing w:after="0"/>
              <w:jc w:val="right"/>
              <w:rPr>
                <w:u w:val="single"/>
              </w:rPr>
            </w:pPr>
            <w:r w:rsidRPr="00DB3F85">
              <w:rPr>
                <w:u w:val="single"/>
              </w:rPr>
              <w:t>209,615</w:t>
            </w:r>
          </w:p>
        </w:tc>
      </w:tr>
      <w:tr w:rsidR="00EA545B" w:rsidRPr="00AC4AD6" w:rsidTr="00B40D61">
        <w:tc>
          <w:tcPr>
            <w:tcW w:w="7938" w:type="dxa"/>
            <w:vAlign w:val="center"/>
          </w:tcPr>
          <w:p w:rsidR="00EA545B" w:rsidRPr="00AC4AD6" w:rsidRDefault="00EA545B" w:rsidP="00B40D61">
            <w:pPr>
              <w:pStyle w:val="NoSpacing"/>
              <w:spacing w:after="0"/>
            </w:pPr>
            <w:r>
              <w:t>Intangible assets - net</w:t>
            </w:r>
          </w:p>
        </w:tc>
        <w:tc>
          <w:tcPr>
            <w:tcW w:w="1638" w:type="dxa"/>
            <w:vAlign w:val="center"/>
          </w:tcPr>
          <w:p w:rsidR="00EA545B" w:rsidRDefault="00DB3F85" w:rsidP="00B40D61">
            <w:pPr>
              <w:pStyle w:val="NoSpacing"/>
              <w:spacing w:after="0"/>
              <w:jc w:val="right"/>
              <w:rPr>
                <w:u w:val="single"/>
              </w:rPr>
            </w:pPr>
            <w:r>
              <w:rPr>
                <w:u w:val="single"/>
              </w:rPr>
              <w:t>2,103,</w:t>
            </w:r>
            <w:r w:rsidR="00EA545B">
              <w:rPr>
                <w:u w:val="single"/>
              </w:rPr>
              <w:t>9</w:t>
            </w:r>
            <w:r>
              <w:rPr>
                <w:u w:val="single"/>
              </w:rPr>
              <w:t>5</w:t>
            </w:r>
            <w:r w:rsidR="00EA545B">
              <w:rPr>
                <w:u w:val="single"/>
              </w:rPr>
              <w:t>8</w:t>
            </w:r>
          </w:p>
        </w:tc>
      </w:tr>
      <w:tr w:rsidR="00EA545B" w:rsidRPr="00AC4AD6" w:rsidTr="00B40D61">
        <w:trPr>
          <w:trHeight w:val="377"/>
        </w:trPr>
        <w:tc>
          <w:tcPr>
            <w:tcW w:w="7938" w:type="dxa"/>
            <w:vAlign w:val="center"/>
          </w:tcPr>
          <w:p w:rsidR="00EA545B" w:rsidRPr="00AC4AD6" w:rsidRDefault="00EA545B" w:rsidP="00B40D61">
            <w:pPr>
              <w:pStyle w:val="NoSpacing"/>
              <w:spacing w:after="0"/>
            </w:pPr>
            <w:r w:rsidRPr="00AC4AD6">
              <w:t>TOTAL ASSETS</w:t>
            </w:r>
          </w:p>
        </w:tc>
        <w:tc>
          <w:tcPr>
            <w:tcW w:w="1638" w:type="dxa"/>
            <w:vAlign w:val="center"/>
          </w:tcPr>
          <w:p w:rsidR="00EA545B" w:rsidRPr="00130613" w:rsidRDefault="00DB3F85" w:rsidP="00B40D61">
            <w:pPr>
              <w:pStyle w:val="NoSpacing"/>
              <w:spacing w:after="0"/>
              <w:jc w:val="right"/>
              <w:rPr>
                <w:u w:val="double"/>
              </w:rPr>
            </w:pPr>
            <w:r>
              <w:rPr>
                <w:u w:val="double"/>
              </w:rPr>
              <w:t>$24,911,826</w:t>
            </w:r>
          </w:p>
        </w:tc>
      </w:tr>
    </w:tbl>
    <w:p w:rsidR="00EA545B" w:rsidRPr="00AC4AD6" w:rsidRDefault="00EA545B" w:rsidP="00EA545B">
      <w:pPr>
        <w:pStyle w:val="Heading3"/>
      </w:pPr>
      <w:bookmarkStart w:id="10" w:name="_Toc415727656"/>
      <w:r w:rsidRPr="00AC4AD6">
        <w:t>LIABILITIES AND NET ASSETS</w:t>
      </w:r>
      <w:bookmarkEnd w:id="10"/>
    </w:p>
    <w:tbl>
      <w:tblPr>
        <w:tblStyle w:val="TableGrid"/>
        <w:tblW w:w="0" w:type="auto"/>
        <w:tblLook w:val="04C0" w:firstRow="0" w:lastRow="1" w:firstColumn="1" w:lastColumn="0" w:noHBand="0" w:noVBand="1"/>
      </w:tblPr>
      <w:tblGrid>
        <w:gridCol w:w="7960"/>
        <w:gridCol w:w="1616"/>
      </w:tblGrid>
      <w:tr w:rsidR="00EA545B" w:rsidRPr="00AC4AD6" w:rsidTr="00B40D61">
        <w:trPr>
          <w:tblHeader/>
        </w:trPr>
        <w:tc>
          <w:tcPr>
            <w:tcW w:w="9576" w:type="dxa"/>
            <w:gridSpan w:val="2"/>
            <w:vAlign w:val="center"/>
          </w:tcPr>
          <w:p w:rsidR="00EA545B" w:rsidRPr="00AC4AD6" w:rsidRDefault="00EA545B" w:rsidP="00B40D61">
            <w:pPr>
              <w:pStyle w:val="NoSpacing"/>
              <w:spacing w:after="0"/>
            </w:pPr>
            <w:r w:rsidRPr="00AC4AD6">
              <w:t>LIABILITIES:</w:t>
            </w:r>
          </w:p>
        </w:tc>
      </w:tr>
      <w:tr w:rsidR="00EA545B" w:rsidRPr="00AC4AD6" w:rsidTr="00B40D61">
        <w:trPr>
          <w:tblHeader/>
        </w:trPr>
        <w:tc>
          <w:tcPr>
            <w:tcW w:w="7960" w:type="dxa"/>
            <w:vAlign w:val="center"/>
          </w:tcPr>
          <w:p w:rsidR="00EA545B" w:rsidRPr="00AC4AD6" w:rsidRDefault="00EA545B" w:rsidP="00B40D61">
            <w:pPr>
              <w:pStyle w:val="NoSpacing"/>
              <w:spacing w:after="0"/>
              <w:ind w:firstLine="180"/>
            </w:pPr>
            <w:r w:rsidRPr="00AC4AD6">
              <w:t>Accounts payable and accrued expenses</w:t>
            </w:r>
          </w:p>
        </w:tc>
        <w:tc>
          <w:tcPr>
            <w:tcW w:w="1616" w:type="dxa"/>
            <w:vAlign w:val="center"/>
          </w:tcPr>
          <w:p w:rsidR="00EA545B" w:rsidRPr="00330B49" w:rsidRDefault="00DB3F85" w:rsidP="00B40D61">
            <w:pPr>
              <w:pStyle w:val="NoSpacing"/>
              <w:spacing w:after="0"/>
              <w:jc w:val="right"/>
            </w:pPr>
            <w:r>
              <w:t>$511,882</w:t>
            </w:r>
          </w:p>
        </w:tc>
      </w:tr>
      <w:tr w:rsidR="00EA545B" w:rsidRPr="00AC4AD6" w:rsidTr="00B40D61">
        <w:trPr>
          <w:tblHeader/>
        </w:trPr>
        <w:tc>
          <w:tcPr>
            <w:tcW w:w="7960" w:type="dxa"/>
            <w:vAlign w:val="center"/>
          </w:tcPr>
          <w:p w:rsidR="00EA545B" w:rsidRPr="00AC4AD6" w:rsidRDefault="00EA545B" w:rsidP="00B40D61">
            <w:pPr>
              <w:pStyle w:val="NoSpacing"/>
              <w:spacing w:after="0"/>
              <w:ind w:firstLine="180"/>
            </w:pPr>
            <w:r>
              <w:t>Deferred revenue</w:t>
            </w:r>
          </w:p>
        </w:tc>
        <w:tc>
          <w:tcPr>
            <w:tcW w:w="1616" w:type="dxa"/>
            <w:vAlign w:val="center"/>
          </w:tcPr>
          <w:p w:rsidR="00EA545B" w:rsidRDefault="00DB3F85" w:rsidP="00B40D61">
            <w:pPr>
              <w:pStyle w:val="NoSpacing"/>
              <w:spacing w:after="0"/>
              <w:jc w:val="right"/>
            </w:pPr>
            <w:r>
              <w:t>15,000</w:t>
            </w:r>
          </w:p>
        </w:tc>
      </w:tr>
      <w:tr w:rsidR="00EA545B" w:rsidRPr="00AC4AD6" w:rsidTr="00B40D61">
        <w:trPr>
          <w:tblHeader/>
        </w:trPr>
        <w:tc>
          <w:tcPr>
            <w:tcW w:w="7960" w:type="dxa"/>
            <w:vAlign w:val="center"/>
          </w:tcPr>
          <w:p w:rsidR="00EA545B" w:rsidRPr="00AC4AD6" w:rsidRDefault="00EA545B" w:rsidP="00B40D61">
            <w:pPr>
              <w:pStyle w:val="NoSpacing"/>
              <w:spacing w:after="0"/>
              <w:ind w:firstLine="180"/>
            </w:pPr>
            <w:r w:rsidRPr="00AC4AD6">
              <w:t>Accrued</w:t>
            </w:r>
            <w:r>
              <w:t xml:space="preserve"> annuity benefit </w:t>
            </w:r>
          </w:p>
        </w:tc>
        <w:tc>
          <w:tcPr>
            <w:tcW w:w="1616" w:type="dxa"/>
            <w:vAlign w:val="center"/>
          </w:tcPr>
          <w:p w:rsidR="00EA545B" w:rsidRPr="00130613" w:rsidRDefault="00DB3F85" w:rsidP="00B40D61">
            <w:pPr>
              <w:pStyle w:val="NoSpacing"/>
              <w:spacing w:after="0"/>
              <w:jc w:val="right"/>
              <w:rPr>
                <w:u w:val="single"/>
              </w:rPr>
            </w:pPr>
            <w:r>
              <w:rPr>
                <w:u w:val="single"/>
              </w:rPr>
              <w:t>28,156</w:t>
            </w:r>
          </w:p>
        </w:tc>
      </w:tr>
      <w:tr w:rsidR="00EA545B" w:rsidRPr="00AC4AD6" w:rsidTr="00B40D61">
        <w:trPr>
          <w:trHeight w:val="431"/>
          <w:tblHeader/>
        </w:trPr>
        <w:tc>
          <w:tcPr>
            <w:tcW w:w="7960" w:type="dxa"/>
            <w:vAlign w:val="center"/>
          </w:tcPr>
          <w:p w:rsidR="00EA545B" w:rsidRPr="00AC4AD6" w:rsidRDefault="00EA545B" w:rsidP="00B40D61">
            <w:pPr>
              <w:pStyle w:val="NoSpacing"/>
              <w:spacing w:after="0"/>
              <w:ind w:left="270"/>
            </w:pPr>
            <w:r w:rsidRPr="00AC4AD6">
              <w:t>TOTAL LIABILITIES</w:t>
            </w:r>
          </w:p>
        </w:tc>
        <w:tc>
          <w:tcPr>
            <w:tcW w:w="1616" w:type="dxa"/>
            <w:vAlign w:val="center"/>
          </w:tcPr>
          <w:p w:rsidR="00EA545B" w:rsidRPr="00130613" w:rsidRDefault="00DB3F85" w:rsidP="00B40D61">
            <w:pPr>
              <w:pStyle w:val="NoSpacing"/>
              <w:spacing w:after="0"/>
              <w:jc w:val="right"/>
              <w:rPr>
                <w:u w:val="single"/>
              </w:rPr>
            </w:pPr>
            <w:r>
              <w:rPr>
                <w:u w:val="single"/>
              </w:rPr>
              <w:t>555,038</w:t>
            </w:r>
          </w:p>
        </w:tc>
      </w:tr>
      <w:tr w:rsidR="00EA545B" w:rsidRPr="00AC4AD6" w:rsidTr="00B40D61">
        <w:trPr>
          <w:trHeight w:val="386"/>
          <w:tblHeader/>
        </w:trPr>
        <w:tc>
          <w:tcPr>
            <w:tcW w:w="9576" w:type="dxa"/>
            <w:gridSpan w:val="2"/>
            <w:vAlign w:val="center"/>
          </w:tcPr>
          <w:p w:rsidR="00EA545B" w:rsidRPr="00330B49" w:rsidRDefault="00EA545B" w:rsidP="00B40D61">
            <w:pPr>
              <w:pStyle w:val="NoSpacing"/>
              <w:spacing w:after="0"/>
            </w:pPr>
            <w:r>
              <w:t>NET ASSETS</w:t>
            </w:r>
            <w:r w:rsidRPr="00330B49">
              <w:t>:</w:t>
            </w:r>
          </w:p>
        </w:tc>
      </w:tr>
      <w:tr w:rsidR="00EA545B" w:rsidRPr="00AC4AD6" w:rsidTr="00B40D61">
        <w:trPr>
          <w:tblHeader/>
        </w:trPr>
        <w:tc>
          <w:tcPr>
            <w:tcW w:w="7960" w:type="dxa"/>
            <w:vAlign w:val="center"/>
          </w:tcPr>
          <w:p w:rsidR="00EA545B" w:rsidRPr="00AC4AD6" w:rsidRDefault="00EA545B" w:rsidP="00B40D61">
            <w:pPr>
              <w:pStyle w:val="NoSpacing"/>
              <w:spacing w:after="0"/>
              <w:ind w:firstLine="180"/>
            </w:pPr>
            <w:r w:rsidRPr="00AC4AD6">
              <w:t>Unrestricted</w:t>
            </w:r>
          </w:p>
        </w:tc>
        <w:tc>
          <w:tcPr>
            <w:tcW w:w="1616" w:type="dxa"/>
            <w:vAlign w:val="center"/>
          </w:tcPr>
          <w:p w:rsidR="00EA545B" w:rsidRPr="00330B49" w:rsidRDefault="00DB3F85" w:rsidP="00B40D61">
            <w:pPr>
              <w:pStyle w:val="NoSpacing"/>
              <w:spacing w:after="0"/>
              <w:jc w:val="right"/>
            </w:pPr>
            <w:r>
              <w:t>21,901,982</w:t>
            </w:r>
          </w:p>
        </w:tc>
      </w:tr>
      <w:tr w:rsidR="00EA545B" w:rsidRPr="00AC4AD6" w:rsidTr="00B40D61">
        <w:trPr>
          <w:tblHeader/>
        </w:trPr>
        <w:tc>
          <w:tcPr>
            <w:tcW w:w="7960" w:type="dxa"/>
            <w:vAlign w:val="center"/>
          </w:tcPr>
          <w:p w:rsidR="00EA545B" w:rsidRPr="00AC4AD6" w:rsidRDefault="00EA545B" w:rsidP="00B40D61">
            <w:pPr>
              <w:pStyle w:val="NoSpacing"/>
              <w:spacing w:after="0"/>
              <w:ind w:firstLine="180"/>
            </w:pPr>
            <w:r w:rsidRPr="00AC4AD6">
              <w:t>Temporarily restricted</w:t>
            </w:r>
          </w:p>
        </w:tc>
        <w:tc>
          <w:tcPr>
            <w:tcW w:w="1616" w:type="dxa"/>
            <w:vAlign w:val="center"/>
          </w:tcPr>
          <w:p w:rsidR="00EA545B" w:rsidRPr="00330B49" w:rsidRDefault="00DB3F85" w:rsidP="00B40D61">
            <w:pPr>
              <w:pStyle w:val="NoSpacing"/>
              <w:spacing w:after="0"/>
              <w:jc w:val="right"/>
            </w:pPr>
            <w:r>
              <w:t>2,167,338</w:t>
            </w:r>
          </w:p>
        </w:tc>
      </w:tr>
      <w:tr w:rsidR="00EA545B" w:rsidRPr="00AC4AD6" w:rsidTr="00B40D61">
        <w:trPr>
          <w:trHeight w:val="351"/>
          <w:tblHeader/>
        </w:trPr>
        <w:tc>
          <w:tcPr>
            <w:tcW w:w="7960" w:type="dxa"/>
            <w:vAlign w:val="center"/>
          </w:tcPr>
          <w:p w:rsidR="00EA545B" w:rsidRPr="00AC4AD6" w:rsidRDefault="00EA545B" w:rsidP="00B40D61">
            <w:pPr>
              <w:pStyle w:val="NoSpacing"/>
              <w:spacing w:after="0"/>
              <w:ind w:firstLine="180"/>
            </w:pPr>
            <w:r w:rsidRPr="00AC4AD6">
              <w:t xml:space="preserve">Permanently restricted </w:t>
            </w:r>
          </w:p>
        </w:tc>
        <w:tc>
          <w:tcPr>
            <w:tcW w:w="1616" w:type="dxa"/>
            <w:vAlign w:val="center"/>
          </w:tcPr>
          <w:p w:rsidR="00EA545B" w:rsidRPr="00130613" w:rsidRDefault="00DB3F85" w:rsidP="00B40D61">
            <w:pPr>
              <w:pStyle w:val="NoSpacing"/>
              <w:spacing w:after="0"/>
              <w:jc w:val="right"/>
              <w:rPr>
                <w:u w:val="single"/>
              </w:rPr>
            </w:pPr>
            <w:r>
              <w:rPr>
                <w:u w:val="single"/>
              </w:rPr>
              <w:t>28</w:t>
            </w:r>
            <w:r w:rsidR="00EA545B" w:rsidRPr="00130613">
              <w:rPr>
                <w:u w:val="single"/>
              </w:rPr>
              <w:t>7,468</w:t>
            </w:r>
          </w:p>
        </w:tc>
      </w:tr>
      <w:tr w:rsidR="00EA545B" w:rsidRPr="00AC4AD6" w:rsidTr="00B40D61">
        <w:trPr>
          <w:trHeight w:val="431"/>
          <w:tblHeader/>
        </w:trPr>
        <w:tc>
          <w:tcPr>
            <w:tcW w:w="7960" w:type="dxa"/>
            <w:vAlign w:val="center"/>
          </w:tcPr>
          <w:p w:rsidR="00EA545B" w:rsidRPr="00AC4AD6" w:rsidRDefault="00EA545B" w:rsidP="00B40D61">
            <w:pPr>
              <w:pStyle w:val="NoSpacing"/>
              <w:spacing w:after="0"/>
              <w:ind w:firstLine="270"/>
            </w:pPr>
            <w:r w:rsidRPr="00AC4AD6">
              <w:t>TOTAL NET ASSETS</w:t>
            </w:r>
          </w:p>
        </w:tc>
        <w:tc>
          <w:tcPr>
            <w:tcW w:w="1616" w:type="dxa"/>
            <w:vAlign w:val="center"/>
          </w:tcPr>
          <w:p w:rsidR="00EA545B" w:rsidRPr="00130613" w:rsidRDefault="00DB3F85" w:rsidP="00B40D61">
            <w:pPr>
              <w:pStyle w:val="NoSpacing"/>
              <w:spacing w:after="0"/>
              <w:jc w:val="right"/>
              <w:rPr>
                <w:u w:val="single"/>
              </w:rPr>
            </w:pPr>
            <w:r>
              <w:rPr>
                <w:u w:val="single"/>
              </w:rPr>
              <w:t>24,356,788</w:t>
            </w:r>
          </w:p>
        </w:tc>
      </w:tr>
      <w:tr w:rsidR="00EA545B" w:rsidRPr="00AC4AD6" w:rsidTr="00B40D61">
        <w:trPr>
          <w:trHeight w:val="395"/>
          <w:tblHeader/>
        </w:trPr>
        <w:tc>
          <w:tcPr>
            <w:tcW w:w="7960" w:type="dxa"/>
            <w:vAlign w:val="center"/>
          </w:tcPr>
          <w:p w:rsidR="00EA545B" w:rsidRPr="00AC4AD6" w:rsidRDefault="00EA545B" w:rsidP="00B40D61">
            <w:pPr>
              <w:pStyle w:val="NoSpacing"/>
              <w:spacing w:after="0"/>
            </w:pPr>
            <w:r w:rsidRPr="00AC4AD6">
              <w:t>TOTAL LIABILITIES AND NET ASSETS</w:t>
            </w:r>
          </w:p>
        </w:tc>
        <w:tc>
          <w:tcPr>
            <w:tcW w:w="1616" w:type="dxa"/>
            <w:vAlign w:val="center"/>
          </w:tcPr>
          <w:p w:rsidR="00EA545B" w:rsidRPr="00130613" w:rsidRDefault="00DB3F85" w:rsidP="00B40D61">
            <w:pPr>
              <w:pStyle w:val="NoSpacing"/>
              <w:spacing w:after="0"/>
              <w:jc w:val="right"/>
              <w:rPr>
                <w:u w:val="double"/>
              </w:rPr>
            </w:pPr>
            <w:r>
              <w:rPr>
                <w:u w:val="double"/>
              </w:rPr>
              <w:t>$24,911,826</w:t>
            </w:r>
          </w:p>
        </w:tc>
      </w:tr>
    </w:tbl>
    <w:p w:rsidR="00EA545B" w:rsidRDefault="00EA545B" w:rsidP="00EA545B">
      <w:r>
        <w:br w:type="page"/>
      </w:r>
    </w:p>
    <w:p w:rsidR="00EA545B" w:rsidRPr="00376A2B" w:rsidRDefault="00EA545B" w:rsidP="00EA545B">
      <w:pPr>
        <w:pStyle w:val="Heading2"/>
      </w:pPr>
      <w:bookmarkStart w:id="11" w:name="_Toc415727657"/>
      <w:r w:rsidRPr="00376A2B">
        <w:lastRenderedPageBreak/>
        <w:t>The National Federation of the Blind</w:t>
      </w:r>
      <w:bookmarkStart w:id="12" w:name="_Toc415727658"/>
      <w:bookmarkEnd w:id="11"/>
      <w:r>
        <w:br/>
      </w:r>
      <w:r w:rsidRPr="00376A2B">
        <w:t>T/A Blind Federation of America</w:t>
      </w:r>
      <w:bookmarkStart w:id="13" w:name="_Toc415727659"/>
      <w:bookmarkEnd w:id="12"/>
      <w:r>
        <w:br/>
        <w:t xml:space="preserve">Consolidated </w:t>
      </w:r>
      <w:r w:rsidRPr="00376A2B">
        <w:t>Statements of Activities</w:t>
      </w:r>
      <w:bookmarkStart w:id="14" w:name="_Toc415727660"/>
      <w:bookmarkEnd w:id="13"/>
      <w:r>
        <w:br/>
      </w:r>
      <w:r w:rsidRPr="00376A2B">
        <w:t>For the Year Ended December 31, 201</w:t>
      </w:r>
      <w:bookmarkEnd w:id="14"/>
      <w:r w:rsidR="00A711FE">
        <w:t>6</w:t>
      </w:r>
    </w:p>
    <w:p w:rsidR="00EA545B" w:rsidRPr="00AC4AD6" w:rsidRDefault="00EA545B" w:rsidP="00EA545B">
      <w:pPr>
        <w:pStyle w:val="NoSpacing"/>
      </w:pPr>
    </w:p>
    <w:p w:rsidR="00EA545B" w:rsidRPr="005B55A9" w:rsidRDefault="00EA545B" w:rsidP="00EA545B">
      <w:pPr>
        <w:pStyle w:val="Heading3"/>
      </w:pPr>
      <w:bookmarkStart w:id="15" w:name="_Toc415727661"/>
      <w:r w:rsidRPr="005B55A9">
        <w:t xml:space="preserve">Revenues, Gains and Other Support </w:t>
      </w:r>
      <w:bookmarkEnd w:id="15"/>
    </w:p>
    <w:tbl>
      <w:tblPr>
        <w:tblStyle w:val="TableGrid"/>
        <w:tblW w:w="9738" w:type="dxa"/>
        <w:tblLook w:val="04E0" w:firstRow="1" w:lastRow="1" w:firstColumn="1" w:lastColumn="0" w:noHBand="0" w:noVBand="1"/>
      </w:tblPr>
      <w:tblGrid>
        <w:gridCol w:w="2890"/>
        <w:gridCol w:w="1725"/>
        <w:gridCol w:w="1751"/>
        <w:gridCol w:w="1756"/>
        <w:gridCol w:w="1616"/>
      </w:tblGrid>
      <w:tr w:rsidR="00EA545B" w:rsidRPr="00A2318F" w:rsidTr="00B40D61">
        <w:trPr>
          <w:trHeight w:val="701"/>
          <w:tblHeader/>
        </w:trPr>
        <w:tc>
          <w:tcPr>
            <w:tcW w:w="2890" w:type="dxa"/>
            <w:vAlign w:val="center"/>
          </w:tcPr>
          <w:p w:rsidR="00EA545B" w:rsidRPr="00A2318F" w:rsidRDefault="00EA545B" w:rsidP="00B40D61">
            <w:pPr>
              <w:pStyle w:val="NoSpacing"/>
              <w:spacing w:after="0"/>
            </w:pPr>
          </w:p>
        </w:tc>
        <w:tc>
          <w:tcPr>
            <w:tcW w:w="1725" w:type="dxa"/>
            <w:vAlign w:val="bottom"/>
          </w:tcPr>
          <w:p w:rsidR="00EA545B" w:rsidRPr="00130613" w:rsidRDefault="00EA545B" w:rsidP="00B40D61">
            <w:pPr>
              <w:pStyle w:val="NoSpacing"/>
              <w:spacing w:after="0"/>
              <w:jc w:val="center"/>
              <w:rPr>
                <w:b/>
              </w:rPr>
            </w:pPr>
            <w:r w:rsidRPr="00130613">
              <w:rPr>
                <w:b/>
              </w:rPr>
              <w:t>Unrestricted</w:t>
            </w:r>
          </w:p>
        </w:tc>
        <w:tc>
          <w:tcPr>
            <w:tcW w:w="1751" w:type="dxa"/>
            <w:vAlign w:val="bottom"/>
          </w:tcPr>
          <w:p w:rsidR="00EA545B" w:rsidRPr="00130613" w:rsidRDefault="00EA545B" w:rsidP="00B40D61">
            <w:pPr>
              <w:pStyle w:val="NoSpacing"/>
              <w:spacing w:after="0"/>
              <w:jc w:val="center"/>
              <w:rPr>
                <w:b/>
              </w:rPr>
            </w:pPr>
            <w:r w:rsidRPr="00130613">
              <w:rPr>
                <w:b/>
              </w:rPr>
              <w:t>Temporarily Restricted</w:t>
            </w:r>
          </w:p>
        </w:tc>
        <w:tc>
          <w:tcPr>
            <w:tcW w:w="1756" w:type="dxa"/>
            <w:vAlign w:val="bottom"/>
          </w:tcPr>
          <w:p w:rsidR="00EA545B" w:rsidRPr="00130613" w:rsidRDefault="00EA545B" w:rsidP="00B40D61">
            <w:pPr>
              <w:pStyle w:val="NoSpacing"/>
              <w:spacing w:after="0"/>
              <w:jc w:val="center"/>
              <w:rPr>
                <w:b/>
              </w:rPr>
            </w:pPr>
            <w:r w:rsidRPr="00130613">
              <w:rPr>
                <w:b/>
              </w:rPr>
              <w:t>Permanently Restricted</w:t>
            </w:r>
          </w:p>
        </w:tc>
        <w:tc>
          <w:tcPr>
            <w:tcW w:w="1616" w:type="dxa"/>
            <w:vAlign w:val="bottom"/>
          </w:tcPr>
          <w:p w:rsidR="00EA545B" w:rsidRPr="00130613" w:rsidRDefault="00EA545B" w:rsidP="00B40D61">
            <w:pPr>
              <w:pStyle w:val="NoSpacing"/>
              <w:spacing w:after="0"/>
              <w:jc w:val="center"/>
              <w:rPr>
                <w:b/>
              </w:rPr>
            </w:pPr>
            <w:r w:rsidRPr="00130613">
              <w:rPr>
                <w:b/>
              </w:rPr>
              <w:t>Total</w:t>
            </w:r>
          </w:p>
        </w:tc>
      </w:tr>
      <w:tr w:rsidR="00EA545B" w:rsidRPr="00A2318F" w:rsidTr="00B40D61">
        <w:tc>
          <w:tcPr>
            <w:tcW w:w="2890" w:type="dxa"/>
            <w:vAlign w:val="center"/>
          </w:tcPr>
          <w:p w:rsidR="00EA545B" w:rsidRDefault="00EA545B" w:rsidP="00B40D61">
            <w:pPr>
              <w:pStyle w:val="NoSpacing"/>
              <w:spacing w:after="0"/>
            </w:pPr>
            <w:r>
              <w:t>Public support:</w:t>
            </w:r>
          </w:p>
          <w:p w:rsidR="00EA545B" w:rsidRPr="00A2318F" w:rsidRDefault="00EA545B" w:rsidP="00B40D61">
            <w:pPr>
              <w:pStyle w:val="NoSpacing"/>
              <w:spacing w:after="0"/>
            </w:pPr>
            <w:r w:rsidRPr="00A2318F">
              <w:t>Contributions</w:t>
            </w:r>
          </w:p>
        </w:tc>
        <w:tc>
          <w:tcPr>
            <w:tcW w:w="1725" w:type="dxa"/>
            <w:vAlign w:val="center"/>
          </w:tcPr>
          <w:p w:rsidR="00EA545B" w:rsidRPr="00A2318F" w:rsidRDefault="00A711FE" w:rsidP="00B40D61">
            <w:pPr>
              <w:pStyle w:val="NoSpacing"/>
              <w:spacing w:after="0"/>
              <w:jc w:val="center"/>
            </w:pPr>
            <w:r>
              <w:t>$16,550,911</w:t>
            </w:r>
          </w:p>
        </w:tc>
        <w:tc>
          <w:tcPr>
            <w:tcW w:w="1751" w:type="dxa"/>
            <w:vAlign w:val="center"/>
          </w:tcPr>
          <w:p w:rsidR="00EA545B" w:rsidRPr="00A2318F" w:rsidRDefault="00A711FE" w:rsidP="00B40D61">
            <w:pPr>
              <w:pStyle w:val="NoSpacing"/>
              <w:spacing w:after="0"/>
              <w:jc w:val="center"/>
            </w:pPr>
            <w:r>
              <w:t>$125,578</w:t>
            </w:r>
          </w:p>
        </w:tc>
        <w:tc>
          <w:tcPr>
            <w:tcW w:w="1756" w:type="dxa"/>
            <w:vAlign w:val="center"/>
          </w:tcPr>
          <w:p w:rsidR="00EA545B" w:rsidRPr="00A2318F" w:rsidRDefault="00A711FE" w:rsidP="00B40D61">
            <w:pPr>
              <w:pStyle w:val="NoSpacing"/>
              <w:spacing w:after="0"/>
              <w:jc w:val="center"/>
            </w:pPr>
            <w:r>
              <w:t>$50,000</w:t>
            </w:r>
          </w:p>
        </w:tc>
        <w:tc>
          <w:tcPr>
            <w:tcW w:w="1616" w:type="dxa"/>
            <w:vAlign w:val="center"/>
          </w:tcPr>
          <w:p w:rsidR="00EA545B" w:rsidRPr="00A2318F" w:rsidRDefault="00A711FE" w:rsidP="00B40D61">
            <w:pPr>
              <w:pStyle w:val="NoSpacing"/>
              <w:spacing w:after="0"/>
              <w:jc w:val="center"/>
            </w:pPr>
            <w:r>
              <w:t>$16,726,48</w:t>
            </w:r>
            <w:r w:rsidR="00EA545B">
              <w:t>9</w:t>
            </w:r>
          </w:p>
        </w:tc>
      </w:tr>
      <w:tr w:rsidR="00EA545B" w:rsidRPr="00A2318F" w:rsidTr="00B40D61">
        <w:tc>
          <w:tcPr>
            <w:tcW w:w="2890" w:type="dxa"/>
            <w:vAlign w:val="center"/>
          </w:tcPr>
          <w:p w:rsidR="00EA545B" w:rsidRDefault="00EA545B" w:rsidP="00B40D61">
            <w:pPr>
              <w:pStyle w:val="NoSpacing"/>
              <w:spacing w:after="0"/>
            </w:pPr>
            <w:r>
              <w:t>Public support:</w:t>
            </w:r>
          </w:p>
          <w:p w:rsidR="00EA545B" w:rsidRPr="00A2318F" w:rsidRDefault="00EA545B" w:rsidP="00B40D61">
            <w:pPr>
              <w:pStyle w:val="NoSpacing"/>
              <w:spacing w:after="0"/>
            </w:pPr>
            <w:r w:rsidRPr="00A2318F">
              <w:t>Donated services</w:t>
            </w:r>
          </w:p>
        </w:tc>
        <w:tc>
          <w:tcPr>
            <w:tcW w:w="1725" w:type="dxa"/>
            <w:vAlign w:val="center"/>
          </w:tcPr>
          <w:p w:rsidR="00EA545B" w:rsidRPr="00A2318F" w:rsidRDefault="00A711FE" w:rsidP="00B40D61">
            <w:pPr>
              <w:pStyle w:val="NoSpacing"/>
              <w:spacing w:after="0"/>
              <w:jc w:val="center"/>
            </w:pPr>
            <w:r>
              <w:t>4,362,26</w:t>
            </w:r>
            <w:r w:rsidR="00EA545B">
              <w:t>1</w:t>
            </w:r>
          </w:p>
        </w:tc>
        <w:tc>
          <w:tcPr>
            <w:tcW w:w="1751" w:type="dxa"/>
            <w:vAlign w:val="center"/>
          </w:tcPr>
          <w:p w:rsidR="00EA545B" w:rsidRPr="00A2318F" w:rsidRDefault="00EA545B" w:rsidP="00B40D61">
            <w:pPr>
              <w:pStyle w:val="NoSpacing"/>
              <w:spacing w:after="0"/>
              <w:jc w:val="center"/>
            </w:pPr>
            <w:r w:rsidRPr="00A2318F">
              <w:t>--</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EA545B" w:rsidP="00B40D61">
            <w:pPr>
              <w:pStyle w:val="NoSpacing"/>
              <w:spacing w:after="0"/>
              <w:jc w:val="center"/>
            </w:pPr>
            <w:r w:rsidRPr="00A2318F">
              <w:t>4,</w:t>
            </w:r>
            <w:r w:rsidR="00A711FE">
              <w:t>362,26</w:t>
            </w:r>
            <w:r>
              <w:t>1</w:t>
            </w:r>
          </w:p>
        </w:tc>
      </w:tr>
      <w:tr w:rsidR="00EA545B" w:rsidRPr="00A2318F" w:rsidTr="00B40D61">
        <w:tc>
          <w:tcPr>
            <w:tcW w:w="2890" w:type="dxa"/>
            <w:vAlign w:val="center"/>
          </w:tcPr>
          <w:p w:rsidR="00EA545B" w:rsidRDefault="00EA545B" w:rsidP="00B40D61">
            <w:pPr>
              <w:pStyle w:val="NoSpacing"/>
              <w:spacing w:after="0"/>
            </w:pPr>
            <w:r>
              <w:t>Public support:</w:t>
            </w:r>
          </w:p>
          <w:p w:rsidR="00EA545B" w:rsidRPr="00A2318F" w:rsidRDefault="00EA545B" w:rsidP="00B40D61">
            <w:pPr>
              <w:pStyle w:val="NoSpacing"/>
              <w:spacing w:after="0"/>
            </w:pPr>
            <w:r w:rsidRPr="00A2318F">
              <w:t>Government grants and contract services</w:t>
            </w:r>
          </w:p>
        </w:tc>
        <w:tc>
          <w:tcPr>
            <w:tcW w:w="1725" w:type="dxa"/>
            <w:vAlign w:val="center"/>
          </w:tcPr>
          <w:p w:rsidR="00EA545B" w:rsidRPr="00A2318F" w:rsidRDefault="00A711FE" w:rsidP="00B40D61">
            <w:pPr>
              <w:pStyle w:val="NoSpacing"/>
              <w:spacing w:after="0"/>
              <w:jc w:val="center"/>
            </w:pPr>
            <w:r>
              <w:t>2,074,144</w:t>
            </w:r>
          </w:p>
        </w:tc>
        <w:tc>
          <w:tcPr>
            <w:tcW w:w="1751" w:type="dxa"/>
            <w:vAlign w:val="center"/>
          </w:tcPr>
          <w:p w:rsidR="00EA545B" w:rsidRPr="00A2318F" w:rsidRDefault="00EA545B" w:rsidP="00B40D61">
            <w:pPr>
              <w:pStyle w:val="NoSpacing"/>
              <w:spacing w:after="0"/>
              <w:jc w:val="center"/>
            </w:pPr>
            <w:r w:rsidRPr="00A2318F">
              <w:t>--</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A711FE" w:rsidP="00B40D61">
            <w:pPr>
              <w:pStyle w:val="NoSpacing"/>
              <w:spacing w:after="0"/>
              <w:jc w:val="center"/>
            </w:pPr>
            <w:r>
              <w:t>2,074,144</w:t>
            </w:r>
          </w:p>
        </w:tc>
      </w:tr>
      <w:tr w:rsidR="00EA545B" w:rsidRPr="00A2318F" w:rsidTr="00B40D61">
        <w:trPr>
          <w:trHeight w:val="333"/>
        </w:trPr>
        <w:tc>
          <w:tcPr>
            <w:tcW w:w="2890" w:type="dxa"/>
            <w:vAlign w:val="center"/>
          </w:tcPr>
          <w:p w:rsidR="00EA545B" w:rsidRDefault="00EA545B" w:rsidP="00B40D61">
            <w:pPr>
              <w:pStyle w:val="NoSpacing"/>
              <w:spacing w:after="0"/>
            </w:pPr>
            <w:r>
              <w:t>Public support:</w:t>
            </w:r>
          </w:p>
          <w:p w:rsidR="00EA545B" w:rsidRPr="00A2318F" w:rsidRDefault="00EA545B" w:rsidP="00B40D61">
            <w:pPr>
              <w:pStyle w:val="NoSpacing"/>
              <w:spacing w:after="0"/>
            </w:pPr>
            <w:r w:rsidRPr="00A2318F">
              <w:t>Fulfillment of restrictions</w:t>
            </w:r>
          </w:p>
        </w:tc>
        <w:tc>
          <w:tcPr>
            <w:tcW w:w="1725" w:type="dxa"/>
            <w:vAlign w:val="center"/>
          </w:tcPr>
          <w:p w:rsidR="00EA545B" w:rsidRPr="00A2318F" w:rsidRDefault="00A711FE" w:rsidP="00B40D61">
            <w:pPr>
              <w:pStyle w:val="NoSpacing"/>
              <w:spacing w:after="0"/>
              <w:jc w:val="center"/>
            </w:pPr>
            <w:r>
              <w:t>304,102</w:t>
            </w:r>
          </w:p>
        </w:tc>
        <w:tc>
          <w:tcPr>
            <w:tcW w:w="1751" w:type="dxa"/>
            <w:vAlign w:val="center"/>
          </w:tcPr>
          <w:p w:rsidR="00EA545B" w:rsidRPr="00A2318F" w:rsidRDefault="00A711FE" w:rsidP="00B40D61">
            <w:pPr>
              <w:pStyle w:val="NoSpacing"/>
              <w:spacing w:after="0"/>
              <w:jc w:val="center"/>
            </w:pPr>
            <w:r>
              <w:t>(304,102</w:t>
            </w:r>
            <w:r w:rsidR="00EA545B" w:rsidRPr="00A2318F">
              <w:t>)</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EA545B" w:rsidP="00B40D61">
            <w:pPr>
              <w:pStyle w:val="NoSpacing"/>
              <w:spacing w:after="0"/>
              <w:jc w:val="center"/>
            </w:pPr>
            <w:r>
              <w:t>--</w:t>
            </w:r>
          </w:p>
        </w:tc>
      </w:tr>
      <w:tr w:rsidR="00EA545B" w:rsidRPr="00A2318F" w:rsidTr="00B40D61">
        <w:trPr>
          <w:trHeight w:val="539"/>
        </w:trPr>
        <w:tc>
          <w:tcPr>
            <w:tcW w:w="2890" w:type="dxa"/>
            <w:vAlign w:val="center"/>
          </w:tcPr>
          <w:p w:rsidR="00EA545B" w:rsidRPr="00A2318F" w:rsidRDefault="00EA545B" w:rsidP="00B40D61">
            <w:pPr>
              <w:pStyle w:val="NoSpacing"/>
              <w:spacing w:after="0"/>
            </w:pPr>
            <w:r w:rsidRPr="00A2318F">
              <w:t>Total public support</w:t>
            </w:r>
          </w:p>
        </w:tc>
        <w:tc>
          <w:tcPr>
            <w:tcW w:w="1725" w:type="dxa"/>
            <w:vAlign w:val="center"/>
          </w:tcPr>
          <w:p w:rsidR="00EA545B" w:rsidRPr="00A2318F" w:rsidRDefault="00A711FE" w:rsidP="00B40D61">
            <w:pPr>
              <w:pStyle w:val="NoSpacing"/>
              <w:spacing w:after="0"/>
              <w:jc w:val="center"/>
            </w:pPr>
            <w:r>
              <w:t>23,291,4</w:t>
            </w:r>
            <w:r w:rsidR="00EA545B">
              <w:t>1</w:t>
            </w:r>
            <w:r>
              <w:t>8</w:t>
            </w:r>
          </w:p>
        </w:tc>
        <w:tc>
          <w:tcPr>
            <w:tcW w:w="1751" w:type="dxa"/>
            <w:vAlign w:val="center"/>
          </w:tcPr>
          <w:p w:rsidR="00EA545B" w:rsidRPr="00A2318F" w:rsidRDefault="00A711FE" w:rsidP="00B40D61">
            <w:pPr>
              <w:pStyle w:val="NoSpacing"/>
              <w:spacing w:after="0"/>
              <w:jc w:val="center"/>
            </w:pPr>
            <w:r>
              <w:t>(</w:t>
            </w:r>
            <w:r w:rsidR="00EA545B">
              <w:t>1</w:t>
            </w:r>
            <w:r>
              <w:t>78,524)</w:t>
            </w:r>
          </w:p>
        </w:tc>
        <w:tc>
          <w:tcPr>
            <w:tcW w:w="1756" w:type="dxa"/>
            <w:vAlign w:val="center"/>
          </w:tcPr>
          <w:p w:rsidR="00EA545B" w:rsidRPr="00A2318F" w:rsidRDefault="00A711FE" w:rsidP="00B40D61">
            <w:pPr>
              <w:pStyle w:val="NoSpacing"/>
              <w:spacing w:after="0"/>
              <w:jc w:val="center"/>
            </w:pPr>
            <w:r>
              <w:t>$50,000</w:t>
            </w:r>
          </w:p>
        </w:tc>
        <w:tc>
          <w:tcPr>
            <w:tcW w:w="1616" w:type="dxa"/>
            <w:vAlign w:val="center"/>
          </w:tcPr>
          <w:p w:rsidR="00EA545B" w:rsidRPr="00A2318F" w:rsidRDefault="00A711FE" w:rsidP="00B40D61">
            <w:pPr>
              <w:pStyle w:val="NoSpacing"/>
              <w:spacing w:after="0"/>
              <w:jc w:val="center"/>
            </w:pPr>
            <w:r>
              <w:t>23,162,894</w:t>
            </w:r>
          </w:p>
        </w:tc>
      </w:tr>
      <w:tr w:rsidR="00EA545B" w:rsidRPr="00A2318F" w:rsidTr="00B40D61">
        <w:tc>
          <w:tcPr>
            <w:tcW w:w="2890" w:type="dxa"/>
            <w:vAlign w:val="center"/>
          </w:tcPr>
          <w:p w:rsidR="00EA545B" w:rsidRDefault="00EA545B" w:rsidP="00B40D61">
            <w:pPr>
              <w:pStyle w:val="NoSpacing"/>
              <w:spacing w:after="0"/>
            </w:pPr>
            <w:r>
              <w:t>Revenue:</w:t>
            </w:r>
          </w:p>
          <w:p w:rsidR="00EA545B" w:rsidRPr="00A2318F" w:rsidRDefault="00EA545B" w:rsidP="00B40D61">
            <w:pPr>
              <w:pStyle w:val="NoSpacing"/>
              <w:spacing w:after="0"/>
            </w:pPr>
            <w:r w:rsidRPr="00A2318F">
              <w:t>Sales - independence products and publications</w:t>
            </w:r>
          </w:p>
        </w:tc>
        <w:tc>
          <w:tcPr>
            <w:tcW w:w="1725" w:type="dxa"/>
            <w:vAlign w:val="center"/>
          </w:tcPr>
          <w:p w:rsidR="00EA545B" w:rsidRPr="00A2318F" w:rsidRDefault="00A711FE" w:rsidP="00B40D61">
            <w:pPr>
              <w:pStyle w:val="NoSpacing"/>
              <w:spacing w:after="0"/>
              <w:jc w:val="center"/>
            </w:pPr>
            <w:r>
              <w:t>700,456</w:t>
            </w:r>
          </w:p>
        </w:tc>
        <w:tc>
          <w:tcPr>
            <w:tcW w:w="1751" w:type="dxa"/>
            <w:vAlign w:val="center"/>
          </w:tcPr>
          <w:p w:rsidR="00EA545B" w:rsidRPr="00A2318F" w:rsidRDefault="00EA545B" w:rsidP="00B40D61">
            <w:pPr>
              <w:pStyle w:val="NoSpacing"/>
              <w:spacing w:after="0"/>
              <w:jc w:val="center"/>
            </w:pPr>
            <w:r w:rsidRPr="00A2318F">
              <w:t>--</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A711FE" w:rsidP="00B40D61">
            <w:pPr>
              <w:pStyle w:val="NoSpacing"/>
              <w:spacing w:after="0"/>
              <w:jc w:val="center"/>
            </w:pPr>
            <w:r>
              <w:t>700</w:t>
            </w:r>
            <w:r w:rsidR="00EA545B">
              <w:t>,</w:t>
            </w:r>
            <w:r>
              <w:t>456</w:t>
            </w:r>
          </w:p>
        </w:tc>
      </w:tr>
      <w:tr w:rsidR="00EA545B" w:rsidRPr="00A2318F" w:rsidTr="00B40D61">
        <w:tc>
          <w:tcPr>
            <w:tcW w:w="2890" w:type="dxa"/>
            <w:vAlign w:val="center"/>
          </w:tcPr>
          <w:p w:rsidR="00EA545B" w:rsidRDefault="00EA545B" w:rsidP="00B40D61">
            <w:pPr>
              <w:pStyle w:val="NoSpacing"/>
              <w:spacing w:after="0"/>
            </w:pPr>
            <w:r>
              <w:t>Revenue:</w:t>
            </w:r>
          </w:p>
          <w:p w:rsidR="00EA545B" w:rsidRPr="00A2318F" w:rsidRDefault="00CE27E9" w:rsidP="00B40D61">
            <w:pPr>
              <w:pStyle w:val="NoSpacing"/>
              <w:spacing w:after="0"/>
            </w:pPr>
            <w:r>
              <w:t xml:space="preserve">Net </w:t>
            </w:r>
            <w:r w:rsidR="00EA545B" w:rsidRPr="00A2318F">
              <w:t>Investment income</w:t>
            </w:r>
            <w:r w:rsidR="00EA545B">
              <w:t xml:space="preserve"> (loss)</w:t>
            </w:r>
          </w:p>
        </w:tc>
        <w:tc>
          <w:tcPr>
            <w:tcW w:w="1725" w:type="dxa"/>
            <w:vAlign w:val="center"/>
          </w:tcPr>
          <w:p w:rsidR="00EA545B" w:rsidRPr="00A2318F" w:rsidRDefault="00A711FE" w:rsidP="00B40D61">
            <w:pPr>
              <w:pStyle w:val="NoSpacing"/>
              <w:spacing w:after="0"/>
              <w:jc w:val="center"/>
            </w:pPr>
            <w:r>
              <w:t>554,537</w:t>
            </w:r>
          </w:p>
        </w:tc>
        <w:tc>
          <w:tcPr>
            <w:tcW w:w="1751" w:type="dxa"/>
            <w:vAlign w:val="center"/>
          </w:tcPr>
          <w:p w:rsidR="00EA545B" w:rsidRPr="00A2318F" w:rsidRDefault="00A711FE" w:rsidP="00B40D61">
            <w:pPr>
              <w:pStyle w:val="NoSpacing"/>
              <w:spacing w:after="0"/>
              <w:jc w:val="center"/>
            </w:pPr>
            <w:r>
              <w:t>68,561</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A711FE" w:rsidP="00B40D61">
            <w:pPr>
              <w:pStyle w:val="NoSpacing"/>
              <w:spacing w:after="0"/>
              <w:jc w:val="center"/>
            </w:pPr>
            <w:r>
              <w:t>623,098</w:t>
            </w:r>
          </w:p>
        </w:tc>
      </w:tr>
      <w:tr w:rsidR="00EA545B" w:rsidRPr="00A2318F" w:rsidTr="00B40D61">
        <w:trPr>
          <w:trHeight w:val="234"/>
        </w:trPr>
        <w:tc>
          <w:tcPr>
            <w:tcW w:w="2890" w:type="dxa"/>
            <w:vAlign w:val="center"/>
          </w:tcPr>
          <w:p w:rsidR="00EA545B" w:rsidRDefault="00EA545B" w:rsidP="00B40D61">
            <w:pPr>
              <w:pStyle w:val="NoSpacing"/>
              <w:spacing w:after="0"/>
            </w:pPr>
            <w:r>
              <w:t>Revenue:</w:t>
            </w:r>
          </w:p>
          <w:p w:rsidR="00EA545B" w:rsidRPr="00A2318F" w:rsidRDefault="00EA545B" w:rsidP="00B40D61">
            <w:pPr>
              <w:pStyle w:val="NoSpacing"/>
              <w:spacing w:after="0"/>
            </w:pPr>
            <w:r w:rsidRPr="00A2318F">
              <w:t>Royalties</w:t>
            </w:r>
          </w:p>
        </w:tc>
        <w:tc>
          <w:tcPr>
            <w:tcW w:w="1725" w:type="dxa"/>
            <w:vAlign w:val="center"/>
          </w:tcPr>
          <w:p w:rsidR="00EA545B" w:rsidRPr="00A2318F" w:rsidRDefault="00C83F16" w:rsidP="00B40D61">
            <w:pPr>
              <w:pStyle w:val="NoSpacing"/>
              <w:spacing w:after="0"/>
              <w:jc w:val="center"/>
            </w:pPr>
            <w:r>
              <w:t>1,242</w:t>
            </w:r>
          </w:p>
        </w:tc>
        <w:tc>
          <w:tcPr>
            <w:tcW w:w="1751" w:type="dxa"/>
            <w:vAlign w:val="center"/>
          </w:tcPr>
          <w:p w:rsidR="00EA545B" w:rsidRPr="00A2318F" w:rsidRDefault="00EA545B" w:rsidP="00B40D61">
            <w:pPr>
              <w:pStyle w:val="NoSpacing"/>
              <w:spacing w:after="0"/>
              <w:jc w:val="center"/>
            </w:pPr>
            <w:r w:rsidRPr="00A2318F">
              <w:t>--</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C83F16" w:rsidP="00B40D61">
            <w:pPr>
              <w:pStyle w:val="NoSpacing"/>
              <w:spacing w:after="0"/>
              <w:jc w:val="center"/>
            </w:pPr>
            <w:r>
              <w:t>1,242</w:t>
            </w:r>
          </w:p>
        </w:tc>
      </w:tr>
      <w:tr w:rsidR="00EA545B" w:rsidRPr="00A2318F" w:rsidTr="00B40D61">
        <w:trPr>
          <w:trHeight w:val="450"/>
        </w:trPr>
        <w:tc>
          <w:tcPr>
            <w:tcW w:w="2890" w:type="dxa"/>
            <w:vAlign w:val="center"/>
          </w:tcPr>
          <w:p w:rsidR="00EA545B" w:rsidRPr="00A2318F" w:rsidRDefault="00EA545B" w:rsidP="00B40D61">
            <w:pPr>
              <w:pStyle w:val="NoSpacing"/>
              <w:spacing w:after="0"/>
            </w:pPr>
            <w:r w:rsidRPr="00A2318F">
              <w:t>Total revenue</w:t>
            </w:r>
          </w:p>
        </w:tc>
        <w:tc>
          <w:tcPr>
            <w:tcW w:w="1725" w:type="dxa"/>
            <w:vAlign w:val="center"/>
          </w:tcPr>
          <w:p w:rsidR="00EA545B" w:rsidRPr="00A2318F" w:rsidRDefault="00EA545B" w:rsidP="00B40D61">
            <w:pPr>
              <w:pStyle w:val="NoSpacing"/>
              <w:spacing w:after="0"/>
              <w:jc w:val="center"/>
            </w:pPr>
            <w:r>
              <w:t>1</w:t>
            </w:r>
            <w:r w:rsidR="00C83F16">
              <w:t>,256,235</w:t>
            </w:r>
          </w:p>
        </w:tc>
        <w:tc>
          <w:tcPr>
            <w:tcW w:w="1751" w:type="dxa"/>
            <w:vAlign w:val="center"/>
          </w:tcPr>
          <w:p w:rsidR="00EA545B" w:rsidRPr="00A2318F" w:rsidRDefault="00C83F16" w:rsidP="00B40D61">
            <w:pPr>
              <w:pStyle w:val="NoSpacing"/>
              <w:spacing w:after="0"/>
              <w:jc w:val="center"/>
            </w:pPr>
            <w:r>
              <w:t>68,561</w:t>
            </w:r>
          </w:p>
        </w:tc>
        <w:tc>
          <w:tcPr>
            <w:tcW w:w="1756" w:type="dxa"/>
            <w:vAlign w:val="center"/>
          </w:tcPr>
          <w:p w:rsidR="00EA545B" w:rsidRPr="00A2318F" w:rsidRDefault="00EA545B" w:rsidP="00B40D61">
            <w:pPr>
              <w:pStyle w:val="NoSpacing"/>
              <w:spacing w:after="0"/>
              <w:jc w:val="center"/>
            </w:pPr>
            <w:r w:rsidRPr="00A2318F">
              <w:t>--</w:t>
            </w:r>
          </w:p>
        </w:tc>
        <w:tc>
          <w:tcPr>
            <w:tcW w:w="1616" w:type="dxa"/>
            <w:vAlign w:val="center"/>
          </w:tcPr>
          <w:p w:rsidR="00EA545B" w:rsidRPr="00A2318F" w:rsidRDefault="00C83F16" w:rsidP="00B40D61">
            <w:pPr>
              <w:pStyle w:val="NoSpacing"/>
              <w:spacing w:after="0"/>
              <w:jc w:val="center"/>
            </w:pPr>
            <w:r>
              <w:t>1,324,796</w:t>
            </w:r>
          </w:p>
        </w:tc>
      </w:tr>
      <w:tr w:rsidR="00EA545B" w:rsidRPr="00A2318F" w:rsidTr="00B40D61">
        <w:trPr>
          <w:trHeight w:val="989"/>
        </w:trPr>
        <w:tc>
          <w:tcPr>
            <w:tcW w:w="2890" w:type="dxa"/>
            <w:vAlign w:val="center"/>
          </w:tcPr>
          <w:p w:rsidR="00EA545B" w:rsidRPr="00A2318F" w:rsidRDefault="00EA545B" w:rsidP="00B40D61">
            <w:pPr>
              <w:pStyle w:val="NoSpacing"/>
              <w:spacing w:after="0"/>
            </w:pPr>
            <w:r w:rsidRPr="00A2318F">
              <w:t>TOTAL REVENUES, GAINS AND OTHER SUPPORT</w:t>
            </w:r>
          </w:p>
        </w:tc>
        <w:tc>
          <w:tcPr>
            <w:tcW w:w="1725" w:type="dxa"/>
            <w:vAlign w:val="center"/>
          </w:tcPr>
          <w:p w:rsidR="00EA545B" w:rsidRPr="00A2318F" w:rsidRDefault="00C83F16" w:rsidP="00B40D61">
            <w:pPr>
              <w:pStyle w:val="NoSpacing"/>
              <w:spacing w:after="0"/>
              <w:jc w:val="center"/>
            </w:pPr>
            <w:r>
              <w:t>24,</w:t>
            </w:r>
            <w:r w:rsidR="00EA545B">
              <w:t>5</w:t>
            </w:r>
            <w:r>
              <w:t>47,653</w:t>
            </w:r>
          </w:p>
        </w:tc>
        <w:tc>
          <w:tcPr>
            <w:tcW w:w="1751" w:type="dxa"/>
            <w:vAlign w:val="center"/>
          </w:tcPr>
          <w:p w:rsidR="00EA545B" w:rsidRPr="00A2318F" w:rsidRDefault="00C83F16" w:rsidP="00B40D61">
            <w:pPr>
              <w:pStyle w:val="NoSpacing"/>
              <w:spacing w:after="0"/>
              <w:jc w:val="center"/>
            </w:pPr>
            <w:r>
              <w:t>(109,</w:t>
            </w:r>
            <w:r w:rsidR="00EA545B">
              <w:t>9</w:t>
            </w:r>
            <w:r>
              <w:t>6</w:t>
            </w:r>
            <w:r w:rsidR="00EA545B">
              <w:t>3</w:t>
            </w:r>
            <w:r>
              <w:t>)</w:t>
            </w:r>
          </w:p>
        </w:tc>
        <w:tc>
          <w:tcPr>
            <w:tcW w:w="1756" w:type="dxa"/>
            <w:vAlign w:val="center"/>
          </w:tcPr>
          <w:p w:rsidR="00EA545B" w:rsidRPr="00A2318F" w:rsidRDefault="00C83F16" w:rsidP="00B40D61">
            <w:pPr>
              <w:pStyle w:val="NoSpacing"/>
              <w:spacing w:after="0"/>
              <w:jc w:val="center"/>
            </w:pPr>
            <w:r>
              <w:t>$50,000</w:t>
            </w:r>
          </w:p>
        </w:tc>
        <w:tc>
          <w:tcPr>
            <w:tcW w:w="1616" w:type="dxa"/>
            <w:vAlign w:val="center"/>
          </w:tcPr>
          <w:p w:rsidR="00EA545B" w:rsidRPr="00A2318F" w:rsidRDefault="00C83F16" w:rsidP="00B40D61">
            <w:pPr>
              <w:pStyle w:val="NoSpacing"/>
              <w:spacing w:after="0"/>
              <w:jc w:val="center"/>
            </w:pPr>
            <w:r>
              <w:t>24,487,690</w:t>
            </w:r>
          </w:p>
        </w:tc>
      </w:tr>
    </w:tbl>
    <w:p w:rsidR="00EA545B" w:rsidRDefault="00EA545B" w:rsidP="00EA545B">
      <w:pPr>
        <w:rPr>
          <w:rFonts w:eastAsiaTheme="majorEastAsia" w:cstheme="majorBidi"/>
          <w:szCs w:val="26"/>
        </w:rPr>
      </w:pPr>
      <w:r>
        <w:br w:type="page"/>
      </w:r>
    </w:p>
    <w:p w:rsidR="00EA545B" w:rsidRPr="00AC4AD6" w:rsidRDefault="00EA545B" w:rsidP="00EA545B">
      <w:pPr>
        <w:pStyle w:val="Heading3"/>
      </w:pPr>
      <w:bookmarkStart w:id="16" w:name="_Toc415727662"/>
      <w:r w:rsidRPr="00AC4AD6">
        <w:lastRenderedPageBreak/>
        <w:t>Expenses</w:t>
      </w:r>
      <w:bookmarkEnd w:id="16"/>
    </w:p>
    <w:tbl>
      <w:tblPr>
        <w:tblStyle w:val="TableGrid"/>
        <w:tblW w:w="9558" w:type="dxa"/>
        <w:tblLook w:val="04E0" w:firstRow="1" w:lastRow="1" w:firstColumn="1" w:lastColumn="0" w:noHBand="0" w:noVBand="1"/>
      </w:tblPr>
      <w:tblGrid>
        <w:gridCol w:w="2703"/>
        <w:gridCol w:w="1725"/>
        <w:gridCol w:w="1754"/>
        <w:gridCol w:w="1756"/>
        <w:gridCol w:w="1620"/>
      </w:tblGrid>
      <w:tr w:rsidR="00EA545B" w:rsidRPr="00A2318F" w:rsidTr="00B40D61">
        <w:trPr>
          <w:trHeight w:val="737"/>
          <w:tblHeader/>
        </w:trPr>
        <w:tc>
          <w:tcPr>
            <w:tcW w:w="2703" w:type="dxa"/>
          </w:tcPr>
          <w:p w:rsidR="00EA545B" w:rsidRPr="00130613" w:rsidRDefault="00EA545B" w:rsidP="00B40D61">
            <w:pPr>
              <w:pStyle w:val="NoSpacing"/>
              <w:spacing w:after="0"/>
              <w:rPr>
                <w:b/>
              </w:rPr>
            </w:pPr>
          </w:p>
        </w:tc>
        <w:tc>
          <w:tcPr>
            <w:tcW w:w="1725" w:type="dxa"/>
            <w:vAlign w:val="bottom"/>
          </w:tcPr>
          <w:p w:rsidR="00EA545B" w:rsidRPr="00130613" w:rsidRDefault="00EA545B" w:rsidP="00B40D61">
            <w:pPr>
              <w:pStyle w:val="NoSpacing"/>
              <w:spacing w:after="0"/>
              <w:jc w:val="center"/>
              <w:rPr>
                <w:b/>
              </w:rPr>
            </w:pPr>
            <w:r w:rsidRPr="00130613">
              <w:rPr>
                <w:b/>
              </w:rPr>
              <w:t>Unrestricted</w:t>
            </w:r>
          </w:p>
        </w:tc>
        <w:tc>
          <w:tcPr>
            <w:tcW w:w="1754" w:type="dxa"/>
            <w:vAlign w:val="bottom"/>
          </w:tcPr>
          <w:p w:rsidR="00EA545B" w:rsidRPr="00130613" w:rsidRDefault="00EA545B" w:rsidP="00B40D61">
            <w:pPr>
              <w:pStyle w:val="NoSpacing"/>
              <w:spacing w:after="0"/>
              <w:jc w:val="center"/>
              <w:rPr>
                <w:b/>
              </w:rPr>
            </w:pPr>
            <w:r w:rsidRPr="00130613">
              <w:rPr>
                <w:b/>
              </w:rPr>
              <w:t>Temporarily Restricted</w:t>
            </w:r>
          </w:p>
        </w:tc>
        <w:tc>
          <w:tcPr>
            <w:tcW w:w="1756" w:type="dxa"/>
            <w:vAlign w:val="bottom"/>
          </w:tcPr>
          <w:p w:rsidR="00EA545B" w:rsidRPr="00130613" w:rsidRDefault="00EA545B" w:rsidP="00B40D61">
            <w:pPr>
              <w:pStyle w:val="NoSpacing"/>
              <w:spacing w:after="0"/>
              <w:jc w:val="center"/>
              <w:rPr>
                <w:b/>
              </w:rPr>
            </w:pPr>
            <w:r w:rsidRPr="00130613">
              <w:rPr>
                <w:b/>
              </w:rPr>
              <w:t>Permanently Restricted</w:t>
            </w:r>
          </w:p>
        </w:tc>
        <w:tc>
          <w:tcPr>
            <w:tcW w:w="1620" w:type="dxa"/>
            <w:vAlign w:val="bottom"/>
          </w:tcPr>
          <w:p w:rsidR="00EA545B" w:rsidRPr="00130613" w:rsidRDefault="00EA545B" w:rsidP="00B40D61">
            <w:pPr>
              <w:pStyle w:val="NoSpacing"/>
              <w:spacing w:after="0"/>
              <w:jc w:val="center"/>
              <w:rPr>
                <w:b/>
              </w:rPr>
            </w:pPr>
            <w:r w:rsidRPr="00130613">
              <w:rPr>
                <w:b/>
              </w:rPr>
              <w:t>Total</w:t>
            </w:r>
          </w:p>
        </w:tc>
      </w:tr>
      <w:tr w:rsidR="00EA545B" w:rsidRPr="00A2318F" w:rsidTr="00B40D61">
        <w:tc>
          <w:tcPr>
            <w:tcW w:w="2703" w:type="dxa"/>
            <w:vAlign w:val="center"/>
          </w:tcPr>
          <w:p w:rsidR="00EA545B" w:rsidRDefault="00EA545B" w:rsidP="00B40D61">
            <w:pPr>
              <w:pStyle w:val="NoSpacing"/>
              <w:spacing w:after="0"/>
            </w:pPr>
            <w:r>
              <w:t>Program services:</w:t>
            </w:r>
          </w:p>
          <w:p w:rsidR="00EA545B" w:rsidRPr="00A2318F" w:rsidRDefault="00EA545B" w:rsidP="00B40D61">
            <w:pPr>
              <w:pStyle w:val="NoSpacing"/>
              <w:spacing w:after="0"/>
            </w:pPr>
            <w:r w:rsidRPr="00A2318F">
              <w:t>Blindness integration</w:t>
            </w:r>
          </w:p>
        </w:tc>
        <w:tc>
          <w:tcPr>
            <w:tcW w:w="1725" w:type="dxa"/>
            <w:vAlign w:val="center"/>
          </w:tcPr>
          <w:p w:rsidR="00EA545B" w:rsidRPr="00A2318F" w:rsidRDefault="00A3183B" w:rsidP="00B40D61">
            <w:pPr>
              <w:pStyle w:val="NoSpacing"/>
              <w:spacing w:after="0"/>
              <w:jc w:val="center"/>
            </w:pPr>
            <w:r>
              <w:t>8,804,789</w:t>
            </w:r>
          </w:p>
        </w:tc>
        <w:tc>
          <w:tcPr>
            <w:tcW w:w="1754" w:type="dxa"/>
            <w:vAlign w:val="center"/>
          </w:tcPr>
          <w:p w:rsidR="00EA545B" w:rsidRPr="00A2318F" w:rsidRDefault="00EA545B" w:rsidP="00B40D61">
            <w:pPr>
              <w:pStyle w:val="NoSpacing"/>
              <w:spacing w:after="0"/>
              <w:jc w:val="center"/>
            </w:pPr>
            <w:r w:rsidRPr="00A2318F">
              <w:t>--</w:t>
            </w:r>
          </w:p>
        </w:tc>
        <w:tc>
          <w:tcPr>
            <w:tcW w:w="1756" w:type="dxa"/>
            <w:vAlign w:val="center"/>
          </w:tcPr>
          <w:p w:rsidR="00EA545B" w:rsidRPr="00A2318F" w:rsidRDefault="00EA545B" w:rsidP="00B40D61">
            <w:pPr>
              <w:pStyle w:val="NoSpacing"/>
              <w:spacing w:after="0"/>
              <w:jc w:val="center"/>
            </w:pPr>
            <w:r w:rsidRPr="00A2318F">
              <w:t>--</w:t>
            </w:r>
          </w:p>
        </w:tc>
        <w:tc>
          <w:tcPr>
            <w:tcW w:w="1620" w:type="dxa"/>
            <w:vAlign w:val="center"/>
          </w:tcPr>
          <w:p w:rsidR="00EA545B" w:rsidRPr="00A2318F" w:rsidRDefault="00A3183B" w:rsidP="00B40D61">
            <w:pPr>
              <w:pStyle w:val="NoSpacing"/>
              <w:spacing w:after="0"/>
              <w:jc w:val="center"/>
            </w:pPr>
            <w:r>
              <w:t>8,804,789</w:t>
            </w:r>
          </w:p>
        </w:tc>
      </w:tr>
      <w:tr w:rsidR="00EA545B" w:rsidRPr="00A2318F" w:rsidTr="00B40D61">
        <w:tc>
          <w:tcPr>
            <w:tcW w:w="2703" w:type="dxa"/>
            <w:vAlign w:val="center"/>
          </w:tcPr>
          <w:p w:rsidR="00EA545B" w:rsidRDefault="00EA545B" w:rsidP="00B40D61">
            <w:pPr>
              <w:pStyle w:val="NoSpacing"/>
              <w:spacing w:after="0"/>
            </w:pPr>
            <w:r>
              <w:t>Program services:</w:t>
            </w:r>
          </w:p>
          <w:p w:rsidR="00EA545B" w:rsidRPr="00A2318F" w:rsidRDefault="00EA545B" w:rsidP="00B40D61">
            <w:pPr>
              <w:pStyle w:val="NoSpacing"/>
              <w:spacing w:after="0"/>
            </w:pPr>
            <w:r w:rsidRPr="00A2318F">
              <w:t>Civil rights, advocacy and self-organization</w:t>
            </w:r>
          </w:p>
        </w:tc>
        <w:tc>
          <w:tcPr>
            <w:tcW w:w="1725" w:type="dxa"/>
            <w:vAlign w:val="center"/>
          </w:tcPr>
          <w:p w:rsidR="00EA545B" w:rsidRPr="00A2318F" w:rsidRDefault="00A3183B" w:rsidP="00B40D61">
            <w:pPr>
              <w:pStyle w:val="NoSpacing"/>
              <w:spacing w:after="0"/>
              <w:jc w:val="center"/>
            </w:pPr>
            <w:r>
              <w:t>6,023,39</w:t>
            </w:r>
            <w:r w:rsidR="00EA545B">
              <w:t>0</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A3183B" w:rsidP="00B40D61">
            <w:pPr>
              <w:pStyle w:val="NoSpacing"/>
              <w:spacing w:after="0"/>
              <w:jc w:val="center"/>
            </w:pPr>
            <w:r>
              <w:t>6,023,39</w:t>
            </w:r>
            <w:r w:rsidR="00EA545B">
              <w:t>0</w:t>
            </w:r>
          </w:p>
        </w:tc>
      </w:tr>
      <w:tr w:rsidR="00EA545B" w:rsidRPr="00A2318F" w:rsidTr="00B40D61">
        <w:tc>
          <w:tcPr>
            <w:tcW w:w="2703" w:type="dxa"/>
            <w:vAlign w:val="center"/>
          </w:tcPr>
          <w:p w:rsidR="00EA545B" w:rsidRDefault="00EA545B" w:rsidP="00B40D61">
            <w:pPr>
              <w:pStyle w:val="NoSpacing"/>
              <w:spacing w:after="0"/>
            </w:pPr>
            <w:r>
              <w:t>Program services:</w:t>
            </w:r>
          </w:p>
          <w:p w:rsidR="00EA545B" w:rsidRPr="00A2318F" w:rsidRDefault="00EA545B" w:rsidP="00B40D61">
            <w:pPr>
              <w:pStyle w:val="NoSpacing"/>
              <w:spacing w:after="0"/>
            </w:pPr>
            <w:r w:rsidRPr="00A2318F">
              <w:t>Nonvisual access systems</w:t>
            </w:r>
          </w:p>
        </w:tc>
        <w:tc>
          <w:tcPr>
            <w:tcW w:w="1725" w:type="dxa"/>
            <w:vAlign w:val="center"/>
          </w:tcPr>
          <w:p w:rsidR="00EA545B" w:rsidRPr="00A2318F" w:rsidRDefault="00A3183B" w:rsidP="00B40D61">
            <w:pPr>
              <w:pStyle w:val="NoSpacing"/>
              <w:spacing w:after="0"/>
              <w:jc w:val="center"/>
            </w:pPr>
            <w:r>
              <w:t>5,229,150</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A3183B" w:rsidP="00B40D61">
            <w:pPr>
              <w:pStyle w:val="NoSpacing"/>
              <w:spacing w:after="0"/>
              <w:jc w:val="center"/>
            </w:pPr>
            <w:r>
              <w:t>5,229,150</w:t>
            </w:r>
          </w:p>
        </w:tc>
      </w:tr>
      <w:tr w:rsidR="00EA545B" w:rsidRPr="00A2318F" w:rsidTr="00B40D61">
        <w:trPr>
          <w:trHeight w:val="702"/>
        </w:trPr>
        <w:tc>
          <w:tcPr>
            <w:tcW w:w="2703" w:type="dxa"/>
            <w:vAlign w:val="center"/>
          </w:tcPr>
          <w:p w:rsidR="00EA545B" w:rsidRPr="00A2318F" w:rsidRDefault="00EA545B" w:rsidP="00B40D61">
            <w:pPr>
              <w:pStyle w:val="NoSpacing"/>
              <w:spacing w:after="0"/>
            </w:pPr>
            <w:r w:rsidRPr="00A2318F">
              <w:t>Total program services</w:t>
            </w:r>
          </w:p>
        </w:tc>
        <w:tc>
          <w:tcPr>
            <w:tcW w:w="1725" w:type="dxa"/>
            <w:vAlign w:val="center"/>
          </w:tcPr>
          <w:p w:rsidR="00EA545B" w:rsidRPr="00A2318F" w:rsidRDefault="00A3183B" w:rsidP="00B40D61">
            <w:pPr>
              <w:pStyle w:val="NoSpacing"/>
              <w:spacing w:after="0"/>
              <w:jc w:val="center"/>
            </w:pPr>
            <w:r>
              <w:t>20,057,329</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A3183B" w:rsidP="00B40D61">
            <w:pPr>
              <w:pStyle w:val="NoSpacing"/>
              <w:spacing w:after="0"/>
              <w:jc w:val="center"/>
            </w:pPr>
            <w:r>
              <w:t>20,057,329</w:t>
            </w:r>
          </w:p>
        </w:tc>
      </w:tr>
      <w:tr w:rsidR="00EA545B" w:rsidRPr="00A2318F" w:rsidTr="00B40D61">
        <w:trPr>
          <w:trHeight w:val="746"/>
        </w:trPr>
        <w:tc>
          <w:tcPr>
            <w:tcW w:w="2703" w:type="dxa"/>
            <w:vAlign w:val="center"/>
          </w:tcPr>
          <w:p w:rsidR="00EA545B" w:rsidRDefault="00EA545B" w:rsidP="00B40D61">
            <w:pPr>
              <w:pStyle w:val="NoSpacing"/>
              <w:spacing w:after="0"/>
            </w:pPr>
            <w:r>
              <w:t>Supporting services:</w:t>
            </w:r>
          </w:p>
          <w:p w:rsidR="00EA545B" w:rsidRPr="00A2318F" w:rsidRDefault="00EA545B" w:rsidP="00B40D61">
            <w:pPr>
              <w:pStyle w:val="NoSpacing"/>
              <w:spacing w:after="0"/>
            </w:pPr>
            <w:r w:rsidRPr="00A2318F">
              <w:t>Management and general</w:t>
            </w:r>
          </w:p>
        </w:tc>
        <w:tc>
          <w:tcPr>
            <w:tcW w:w="1725" w:type="dxa"/>
            <w:vAlign w:val="center"/>
          </w:tcPr>
          <w:p w:rsidR="00EA545B" w:rsidRPr="00A2318F" w:rsidRDefault="00974995" w:rsidP="00B40D61">
            <w:pPr>
              <w:pStyle w:val="NoSpacing"/>
              <w:spacing w:after="0"/>
              <w:jc w:val="center"/>
            </w:pPr>
            <w:r>
              <w:t>570,343</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974995" w:rsidP="00B40D61">
            <w:pPr>
              <w:pStyle w:val="NoSpacing"/>
              <w:spacing w:after="0"/>
              <w:jc w:val="center"/>
            </w:pPr>
            <w:r>
              <w:t>570,343</w:t>
            </w:r>
          </w:p>
        </w:tc>
      </w:tr>
      <w:tr w:rsidR="00EA545B" w:rsidRPr="00A2318F" w:rsidTr="00B40D61">
        <w:tc>
          <w:tcPr>
            <w:tcW w:w="2703" w:type="dxa"/>
            <w:vAlign w:val="center"/>
          </w:tcPr>
          <w:p w:rsidR="00EA545B" w:rsidRPr="00A2318F" w:rsidRDefault="00EA545B" w:rsidP="00B40D61">
            <w:pPr>
              <w:pStyle w:val="NoSpacing"/>
              <w:spacing w:after="0"/>
            </w:pPr>
            <w:r>
              <w:t>Supporting services:</w:t>
            </w:r>
            <w:r>
              <w:br/>
            </w:r>
            <w:r w:rsidRPr="00A2318F">
              <w:t>Fundraising</w:t>
            </w:r>
          </w:p>
        </w:tc>
        <w:tc>
          <w:tcPr>
            <w:tcW w:w="1725" w:type="dxa"/>
            <w:vAlign w:val="center"/>
          </w:tcPr>
          <w:p w:rsidR="00EA545B" w:rsidRPr="00A2318F" w:rsidRDefault="00974995" w:rsidP="00B40D61">
            <w:pPr>
              <w:pStyle w:val="NoSpacing"/>
              <w:spacing w:after="0"/>
              <w:jc w:val="center"/>
            </w:pPr>
            <w:r>
              <w:t>1,5</w:t>
            </w:r>
            <w:r w:rsidR="00EA545B">
              <w:t>2</w:t>
            </w:r>
            <w:r>
              <w:t>9,523</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974995" w:rsidP="00B40D61">
            <w:pPr>
              <w:pStyle w:val="NoSpacing"/>
              <w:spacing w:after="0"/>
              <w:jc w:val="center"/>
            </w:pPr>
            <w:r>
              <w:t>1,5</w:t>
            </w:r>
            <w:r w:rsidR="00EA545B">
              <w:t>2</w:t>
            </w:r>
            <w:r>
              <w:t>9,523</w:t>
            </w:r>
          </w:p>
        </w:tc>
      </w:tr>
      <w:tr w:rsidR="00EA545B" w:rsidRPr="00A2318F" w:rsidTr="00B40D61">
        <w:trPr>
          <w:trHeight w:val="765"/>
        </w:trPr>
        <w:tc>
          <w:tcPr>
            <w:tcW w:w="2703" w:type="dxa"/>
            <w:vAlign w:val="center"/>
          </w:tcPr>
          <w:p w:rsidR="00EA545B" w:rsidRPr="00A2318F" w:rsidRDefault="00EA545B" w:rsidP="00B40D61">
            <w:pPr>
              <w:pStyle w:val="NoSpacing"/>
              <w:spacing w:after="0"/>
            </w:pPr>
            <w:r w:rsidRPr="00A2318F">
              <w:t xml:space="preserve">Total supporting services </w:t>
            </w:r>
          </w:p>
        </w:tc>
        <w:tc>
          <w:tcPr>
            <w:tcW w:w="1725" w:type="dxa"/>
            <w:vAlign w:val="center"/>
          </w:tcPr>
          <w:p w:rsidR="00EA545B" w:rsidRPr="00A2318F" w:rsidRDefault="00974995" w:rsidP="00B40D61">
            <w:pPr>
              <w:pStyle w:val="NoSpacing"/>
              <w:spacing w:after="0"/>
              <w:jc w:val="center"/>
            </w:pPr>
            <w:r>
              <w:t>2,099,866</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974995" w:rsidP="00B40D61">
            <w:pPr>
              <w:pStyle w:val="NoSpacing"/>
              <w:spacing w:after="0"/>
              <w:jc w:val="center"/>
            </w:pPr>
            <w:r>
              <w:t>2,099,866</w:t>
            </w:r>
          </w:p>
        </w:tc>
      </w:tr>
      <w:tr w:rsidR="00EA545B" w:rsidRPr="00A2318F" w:rsidTr="00B40D61">
        <w:trPr>
          <w:trHeight w:val="441"/>
        </w:trPr>
        <w:tc>
          <w:tcPr>
            <w:tcW w:w="2703" w:type="dxa"/>
            <w:vAlign w:val="center"/>
          </w:tcPr>
          <w:p w:rsidR="00EA545B" w:rsidRPr="00A2318F" w:rsidRDefault="00EA545B" w:rsidP="00B40D61">
            <w:pPr>
              <w:pStyle w:val="NoSpacing"/>
              <w:spacing w:after="0"/>
            </w:pPr>
            <w:r w:rsidRPr="00A2318F">
              <w:t>TOTAL EXPENSES</w:t>
            </w:r>
          </w:p>
        </w:tc>
        <w:tc>
          <w:tcPr>
            <w:tcW w:w="1725" w:type="dxa"/>
            <w:vAlign w:val="center"/>
          </w:tcPr>
          <w:p w:rsidR="00EA545B" w:rsidRPr="00A2318F" w:rsidRDefault="00974995" w:rsidP="00B40D61">
            <w:pPr>
              <w:pStyle w:val="NoSpacing"/>
              <w:spacing w:after="0"/>
              <w:jc w:val="center"/>
            </w:pPr>
            <w:r>
              <w:t>22,157,195</w:t>
            </w:r>
          </w:p>
        </w:tc>
        <w:tc>
          <w:tcPr>
            <w:tcW w:w="1754" w:type="dxa"/>
            <w:vAlign w:val="center"/>
          </w:tcPr>
          <w:p w:rsidR="00EA545B" w:rsidRPr="00A2318F" w:rsidRDefault="00EA545B" w:rsidP="00B40D61">
            <w:pPr>
              <w:pStyle w:val="NoSpacing"/>
              <w:spacing w:after="0"/>
              <w:jc w:val="center"/>
            </w:pPr>
            <w:r>
              <w:t>--</w:t>
            </w:r>
          </w:p>
        </w:tc>
        <w:tc>
          <w:tcPr>
            <w:tcW w:w="1756" w:type="dxa"/>
            <w:vAlign w:val="center"/>
          </w:tcPr>
          <w:p w:rsidR="00EA545B" w:rsidRPr="00A2318F" w:rsidRDefault="00EA545B" w:rsidP="00B40D61">
            <w:pPr>
              <w:pStyle w:val="NoSpacing"/>
              <w:spacing w:after="0"/>
              <w:jc w:val="center"/>
            </w:pPr>
            <w:r>
              <w:t>--</w:t>
            </w:r>
          </w:p>
        </w:tc>
        <w:tc>
          <w:tcPr>
            <w:tcW w:w="1620" w:type="dxa"/>
            <w:vAlign w:val="center"/>
          </w:tcPr>
          <w:p w:rsidR="00EA545B" w:rsidRPr="00A2318F" w:rsidRDefault="00974995" w:rsidP="00B40D61">
            <w:pPr>
              <w:pStyle w:val="NoSpacing"/>
              <w:spacing w:after="0"/>
              <w:jc w:val="center"/>
            </w:pPr>
            <w:r>
              <w:t>22,157,195</w:t>
            </w:r>
          </w:p>
        </w:tc>
      </w:tr>
      <w:tr w:rsidR="00EA545B" w:rsidRPr="00A2318F" w:rsidTr="00B40D61">
        <w:trPr>
          <w:trHeight w:val="720"/>
        </w:trPr>
        <w:tc>
          <w:tcPr>
            <w:tcW w:w="2703" w:type="dxa"/>
            <w:vAlign w:val="center"/>
          </w:tcPr>
          <w:p w:rsidR="00EA545B" w:rsidRPr="00A2318F" w:rsidRDefault="00EA545B" w:rsidP="00B40D61">
            <w:pPr>
              <w:pStyle w:val="NoSpacing"/>
              <w:spacing w:after="0"/>
            </w:pPr>
            <w:r w:rsidRPr="00A2318F">
              <w:t>CHANGES IN NET ASSETS</w:t>
            </w:r>
          </w:p>
        </w:tc>
        <w:tc>
          <w:tcPr>
            <w:tcW w:w="1725" w:type="dxa"/>
            <w:vAlign w:val="center"/>
          </w:tcPr>
          <w:p w:rsidR="00EA545B" w:rsidRPr="00A2318F" w:rsidRDefault="00974995" w:rsidP="00B40D61">
            <w:pPr>
              <w:pStyle w:val="NoSpacing"/>
              <w:spacing w:after="0"/>
              <w:jc w:val="center"/>
            </w:pPr>
            <w:r>
              <w:t>2,</w:t>
            </w:r>
            <w:r w:rsidR="00EA545B">
              <w:t>3</w:t>
            </w:r>
            <w:r>
              <w:t>90,458</w:t>
            </w:r>
          </w:p>
        </w:tc>
        <w:tc>
          <w:tcPr>
            <w:tcW w:w="1754" w:type="dxa"/>
            <w:vAlign w:val="center"/>
          </w:tcPr>
          <w:p w:rsidR="00EA545B" w:rsidRPr="00A2318F" w:rsidRDefault="00974995" w:rsidP="00B40D61">
            <w:pPr>
              <w:pStyle w:val="NoSpacing"/>
              <w:spacing w:after="0"/>
              <w:jc w:val="center"/>
            </w:pPr>
            <w:r>
              <w:t>(109,</w:t>
            </w:r>
            <w:r w:rsidR="00EA545B">
              <w:t>9</w:t>
            </w:r>
            <w:r>
              <w:t>6</w:t>
            </w:r>
            <w:r w:rsidR="00EA545B">
              <w:t>3</w:t>
            </w:r>
            <w:r>
              <w:t>)</w:t>
            </w:r>
          </w:p>
        </w:tc>
        <w:tc>
          <w:tcPr>
            <w:tcW w:w="1756" w:type="dxa"/>
            <w:vAlign w:val="center"/>
          </w:tcPr>
          <w:p w:rsidR="00EA545B" w:rsidRPr="00A2318F" w:rsidRDefault="00974995" w:rsidP="00B40D61">
            <w:pPr>
              <w:pStyle w:val="NoSpacing"/>
              <w:spacing w:after="0"/>
              <w:jc w:val="center"/>
            </w:pPr>
            <w:r>
              <w:t>50,000</w:t>
            </w:r>
          </w:p>
        </w:tc>
        <w:tc>
          <w:tcPr>
            <w:tcW w:w="1620" w:type="dxa"/>
            <w:vAlign w:val="center"/>
          </w:tcPr>
          <w:p w:rsidR="00EA545B" w:rsidRPr="00A2318F" w:rsidRDefault="00974995" w:rsidP="00B40D61">
            <w:pPr>
              <w:pStyle w:val="NoSpacing"/>
              <w:spacing w:after="0"/>
              <w:jc w:val="center"/>
            </w:pPr>
            <w:r>
              <w:t>2,330,495</w:t>
            </w:r>
          </w:p>
        </w:tc>
      </w:tr>
    </w:tbl>
    <w:p w:rsidR="00EA545B" w:rsidRDefault="00EA545B" w:rsidP="00EA545B">
      <w:pPr>
        <w:pStyle w:val="NoSpacing"/>
      </w:pPr>
    </w:p>
    <w:tbl>
      <w:tblPr>
        <w:tblStyle w:val="TableGrid"/>
        <w:tblW w:w="9558" w:type="dxa"/>
        <w:tblLook w:val="04E0" w:firstRow="1" w:lastRow="1" w:firstColumn="1" w:lastColumn="0" w:noHBand="0" w:noVBand="1"/>
      </w:tblPr>
      <w:tblGrid>
        <w:gridCol w:w="2703"/>
        <w:gridCol w:w="1725"/>
        <w:gridCol w:w="1754"/>
        <w:gridCol w:w="1756"/>
        <w:gridCol w:w="1620"/>
      </w:tblGrid>
      <w:tr w:rsidR="00EA545B" w:rsidRPr="00A2318F" w:rsidTr="00B40D61">
        <w:trPr>
          <w:trHeight w:val="1115"/>
        </w:trPr>
        <w:tc>
          <w:tcPr>
            <w:tcW w:w="2703" w:type="dxa"/>
            <w:vAlign w:val="center"/>
          </w:tcPr>
          <w:p w:rsidR="00EA545B" w:rsidRPr="00A2318F" w:rsidRDefault="00EA545B" w:rsidP="00B40D61">
            <w:pPr>
              <w:pStyle w:val="NoSpacing"/>
              <w:spacing w:after="0"/>
            </w:pPr>
            <w:r w:rsidRPr="00A2318F">
              <w:t>NET ASSETS – BEGINNING OF YEAR</w:t>
            </w:r>
          </w:p>
        </w:tc>
        <w:tc>
          <w:tcPr>
            <w:tcW w:w="1725" w:type="dxa"/>
            <w:vAlign w:val="center"/>
          </w:tcPr>
          <w:p w:rsidR="00EA545B" w:rsidRPr="00A2318F" w:rsidRDefault="00974995" w:rsidP="00B40D61">
            <w:pPr>
              <w:pStyle w:val="NoSpacing"/>
              <w:spacing w:after="0"/>
              <w:jc w:val="center"/>
            </w:pPr>
            <w:r>
              <w:t>19,511,524</w:t>
            </w:r>
          </w:p>
        </w:tc>
        <w:tc>
          <w:tcPr>
            <w:tcW w:w="1754" w:type="dxa"/>
            <w:vAlign w:val="center"/>
          </w:tcPr>
          <w:p w:rsidR="00EA545B" w:rsidRPr="00A2318F" w:rsidRDefault="00974995" w:rsidP="00B40D61">
            <w:pPr>
              <w:pStyle w:val="NoSpacing"/>
              <w:spacing w:after="0"/>
              <w:jc w:val="center"/>
            </w:pPr>
            <w:r>
              <w:t>2,</w:t>
            </w:r>
            <w:r w:rsidR="00EA545B">
              <w:t>2</w:t>
            </w:r>
            <w:r>
              <w:t>77,301</w:t>
            </w:r>
          </w:p>
        </w:tc>
        <w:tc>
          <w:tcPr>
            <w:tcW w:w="1756" w:type="dxa"/>
            <w:vAlign w:val="center"/>
          </w:tcPr>
          <w:p w:rsidR="00EA545B" w:rsidRPr="00A2318F" w:rsidRDefault="00EA545B" w:rsidP="00B40D61">
            <w:pPr>
              <w:pStyle w:val="NoSpacing"/>
              <w:spacing w:after="0"/>
              <w:jc w:val="center"/>
            </w:pPr>
            <w:r>
              <w:t>237,468</w:t>
            </w:r>
          </w:p>
        </w:tc>
        <w:tc>
          <w:tcPr>
            <w:tcW w:w="1620" w:type="dxa"/>
            <w:vAlign w:val="center"/>
          </w:tcPr>
          <w:p w:rsidR="00EA545B" w:rsidRPr="00A2318F" w:rsidRDefault="00974995" w:rsidP="00B40D61">
            <w:pPr>
              <w:pStyle w:val="NoSpacing"/>
              <w:spacing w:after="0"/>
              <w:jc w:val="center"/>
            </w:pPr>
            <w:r>
              <w:t>22,026,29</w:t>
            </w:r>
            <w:r w:rsidR="00EA545B">
              <w:t>3</w:t>
            </w:r>
          </w:p>
        </w:tc>
      </w:tr>
      <w:tr w:rsidR="00EA545B" w:rsidRPr="00A2318F" w:rsidTr="00B40D61">
        <w:trPr>
          <w:trHeight w:val="791"/>
        </w:trPr>
        <w:tc>
          <w:tcPr>
            <w:tcW w:w="2703" w:type="dxa"/>
            <w:vAlign w:val="center"/>
          </w:tcPr>
          <w:p w:rsidR="00EA545B" w:rsidRPr="00A2318F" w:rsidRDefault="00EA545B" w:rsidP="00B40D61">
            <w:pPr>
              <w:pStyle w:val="NoSpacing"/>
              <w:spacing w:after="0"/>
            </w:pPr>
            <w:r w:rsidRPr="00A2318F">
              <w:t>NET ASSETS – END OF YEAR</w:t>
            </w:r>
          </w:p>
        </w:tc>
        <w:tc>
          <w:tcPr>
            <w:tcW w:w="1725" w:type="dxa"/>
            <w:vAlign w:val="center"/>
          </w:tcPr>
          <w:p w:rsidR="00EA545B" w:rsidRPr="00A2318F" w:rsidRDefault="00974995" w:rsidP="00B40D61">
            <w:pPr>
              <w:pStyle w:val="NoSpacing"/>
              <w:spacing w:after="0"/>
              <w:jc w:val="center"/>
            </w:pPr>
            <w:r>
              <w:t>$21,901,982</w:t>
            </w:r>
          </w:p>
        </w:tc>
        <w:tc>
          <w:tcPr>
            <w:tcW w:w="1754" w:type="dxa"/>
            <w:vAlign w:val="center"/>
          </w:tcPr>
          <w:p w:rsidR="00EA545B" w:rsidRPr="00A2318F" w:rsidRDefault="00974995" w:rsidP="00B40D61">
            <w:pPr>
              <w:pStyle w:val="NoSpacing"/>
              <w:spacing w:after="0"/>
              <w:jc w:val="center"/>
            </w:pPr>
            <w:r>
              <w:t>$2,167,338</w:t>
            </w:r>
          </w:p>
        </w:tc>
        <w:tc>
          <w:tcPr>
            <w:tcW w:w="1756" w:type="dxa"/>
            <w:vAlign w:val="center"/>
          </w:tcPr>
          <w:p w:rsidR="00EA545B" w:rsidRPr="00A2318F" w:rsidRDefault="00974995" w:rsidP="00B40D61">
            <w:pPr>
              <w:pStyle w:val="NoSpacing"/>
              <w:spacing w:after="0"/>
              <w:jc w:val="center"/>
            </w:pPr>
            <w:r>
              <w:t>$28</w:t>
            </w:r>
            <w:r w:rsidR="00EA545B">
              <w:t>7,468</w:t>
            </w:r>
          </w:p>
        </w:tc>
        <w:tc>
          <w:tcPr>
            <w:tcW w:w="1620" w:type="dxa"/>
            <w:vAlign w:val="center"/>
          </w:tcPr>
          <w:p w:rsidR="00EA545B" w:rsidRPr="00A2318F" w:rsidRDefault="00974995" w:rsidP="00B40D61">
            <w:pPr>
              <w:pStyle w:val="NoSpacing"/>
              <w:spacing w:after="0"/>
              <w:jc w:val="center"/>
            </w:pPr>
            <w:r>
              <w:t>$24,356,788</w:t>
            </w:r>
          </w:p>
        </w:tc>
      </w:tr>
    </w:tbl>
    <w:p w:rsidR="00EA545B" w:rsidRDefault="00EA545B" w:rsidP="00EA545B">
      <w:pPr>
        <w:pStyle w:val="NoSpacing"/>
      </w:pPr>
    </w:p>
    <w:p w:rsidR="00EA545B" w:rsidRDefault="00EA545B" w:rsidP="00EA545B">
      <w:pPr>
        <w:spacing w:after="200" w:line="276" w:lineRule="auto"/>
      </w:pPr>
      <w:r>
        <w:br w:type="page"/>
      </w:r>
    </w:p>
    <w:p w:rsidR="00EA545B" w:rsidRDefault="00EA545B" w:rsidP="00EA545B">
      <w:pPr>
        <w:pStyle w:val="NoSpacing"/>
        <w:sectPr w:rsidR="00EA545B" w:rsidSect="00B40D61">
          <w:footerReference w:type="default" r:id="rId10"/>
          <w:pgSz w:w="12240" w:h="15840"/>
          <w:pgMar w:top="1080" w:right="1440" w:bottom="1440" w:left="1440" w:header="720" w:footer="720" w:gutter="0"/>
          <w:cols w:space="720"/>
          <w:docGrid w:linePitch="381"/>
        </w:sectPr>
      </w:pPr>
    </w:p>
    <w:p w:rsidR="00EA545B" w:rsidRPr="00AC4AD6" w:rsidRDefault="00EA545B" w:rsidP="00EA545B">
      <w:pPr>
        <w:pStyle w:val="Heading2"/>
      </w:pPr>
      <w:bookmarkStart w:id="17" w:name="_Toc415727663"/>
      <w:r w:rsidRPr="00AC4AD6">
        <w:lastRenderedPageBreak/>
        <w:t>The National Federation of the Blind</w:t>
      </w:r>
      <w:bookmarkStart w:id="18" w:name="_Toc415727664"/>
      <w:bookmarkEnd w:id="17"/>
      <w:r>
        <w:br/>
      </w:r>
      <w:r w:rsidRPr="00AC4AD6">
        <w:t>T/A Blind Federation of America</w:t>
      </w:r>
      <w:bookmarkStart w:id="19" w:name="_Toc415727665"/>
      <w:bookmarkEnd w:id="18"/>
      <w:r>
        <w:br/>
        <w:t xml:space="preserve">Consolidated </w:t>
      </w:r>
      <w:r w:rsidRPr="00AC4AD6">
        <w:t>Statements of Functional Expenses</w:t>
      </w:r>
      <w:bookmarkStart w:id="20" w:name="_Toc415727666"/>
      <w:bookmarkEnd w:id="19"/>
      <w:r>
        <w:br/>
      </w:r>
      <w:r w:rsidRPr="00AC4AD6">
        <w:t>For the Year Ended December 31, 20</w:t>
      </w:r>
      <w:r>
        <w:t>1</w:t>
      </w:r>
      <w:bookmarkEnd w:id="20"/>
      <w:r w:rsidR="00974995">
        <w:t>6</w:t>
      </w:r>
    </w:p>
    <w:p w:rsidR="00EA545B" w:rsidRPr="00AC4AD6" w:rsidRDefault="00EA545B" w:rsidP="00EA545B">
      <w:pPr>
        <w:pStyle w:val="NoSpacing"/>
      </w:pPr>
      <w:r>
        <w:t xml:space="preserve"> </w:t>
      </w:r>
    </w:p>
    <w:tbl>
      <w:tblPr>
        <w:tblStyle w:val="TableGrid"/>
        <w:tblW w:w="15170" w:type="dxa"/>
        <w:jc w:val="center"/>
        <w:tblLayout w:type="fixed"/>
        <w:tblCellMar>
          <w:left w:w="115" w:type="dxa"/>
          <w:right w:w="115" w:type="dxa"/>
        </w:tblCellMar>
        <w:tblLook w:val="06E0" w:firstRow="1" w:lastRow="1" w:firstColumn="1" w:lastColumn="0" w:noHBand="1" w:noVBand="1"/>
      </w:tblPr>
      <w:tblGrid>
        <w:gridCol w:w="2905"/>
        <w:gridCol w:w="1440"/>
        <w:gridCol w:w="1800"/>
        <w:gridCol w:w="1440"/>
        <w:gridCol w:w="1440"/>
        <w:gridCol w:w="1655"/>
        <w:gridCol w:w="1530"/>
        <w:gridCol w:w="1530"/>
        <w:gridCol w:w="1430"/>
      </w:tblGrid>
      <w:tr w:rsidR="00EA545B" w:rsidRPr="0038283C" w:rsidTr="00B40D61">
        <w:trPr>
          <w:trHeight w:val="1475"/>
          <w:tblHeader/>
          <w:jc w:val="center"/>
        </w:trPr>
        <w:tc>
          <w:tcPr>
            <w:tcW w:w="2905" w:type="dxa"/>
            <w:vAlign w:val="bottom"/>
          </w:tcPr>
          <w:p w:rsidR="00EA545B" w:rsidRPr="000259AD" w:rsidRDefault="00EA545B" w:rsidP="00B40D61">
            <w:pPr>
              <w:pStyle w:val="NoSpacing"/>
              <w:spacing w:after="0"/>
              <w:rPr>
                <w:sz w:val="24"/>
                <w:szCs w:val="24"/>
              </w:rPr>
            </w:pPr>
          </w:p>
        </w:tc>
        <w:tc>
          <w:tcPr>
            <w:tcW w:w="1440" w:type="dxa"/>
            <w:vAlign w:val="bottom"/>
          </w:tcPr>
          <w:p w:rsidR="00EA545B" w:rsidRPr="00CF5992" w:rsidRDefault="00EA545B" w:rsidP="00B40D61">
            <w:pPr>
              <w:pStyle w:val="NoSpacing"/>
              <w:spacing w:after="0"/>
              <w:jc w:val="center"/>
              <w:rPr>
                <w:b/>
                <w:sz w:val="24"/>
                <w:szCs w:val="24"/>
              </w:rPr>
            </w:pPr>
            <w:r w:rsidRPr="00CF5992">
              <w:rPr>
                <w:b/>
                <w:sz w:val="24"/>
                <w:szCs w:val="24"/>
              </w:rPr>
              <w:t>Program Services: Blindness Integration</w:t>
            </w:r>
          </w:p>
        </w:tc>
        <w:tc>
          <w:tcPr>
            <w:tcW w:w="1800" w:type="dxa"/>
            <w:vAlign w:val="bottom"/>
          </w:tcPr>
          <w:p w:rsidR="00EA545B" w:rsidRDefault="00EA545B" w:rsidP="00B40D61">
            <w:pPr>
              <w:pStyle w:val="NoSpacing"/>
              <w:spacing w:after="0"/>
              <w:jc w:val="center"/>
              <w:rPr>
                <w:b/>
                <w:sz w:val="24"/>
                <w:szCs w:val="24"/>
              </w:rPr>
            </w:pPr>
            <w:r>
              <w:rPr>
                <w:b/>
                <w:sz w:val="24"/>
                <w:szCs w:val="24"/>
              </w:rPr>
              <w:t>Program Services:</w:t>
            </w:r>
          </w:p>
          <w:p w:rsidR="00EA545B" w:rsidRPr="00CF5992" w:rsidRDefault="00EA545B" w:rsidP="00B40D61">
            <w:pPr>
              <w:pStyle w:val="NoSpacing"/>
              <w:spacing w:after="0"/>
              <w:jc w:val="center"/>
              <w:rPr>
                <w:b/>
                <w:sz w:val="24"/>
                <w:szCs w:val="24"/>
              </w:rPr>
            </w:pPr>
            <w:r w:rsidRPr="00CF5992">
              <w:rPr>
                <w:b/>
                <w:sz w:val="24"/>
                <w:szCs w:val="24"/>
              </w:rPr>
              <w:t>Civil Rights, Advocacy and Self-Organization</w:t>
            </w:r>
          </w:p>
        </w:tc>
        <w:tc>
          <w:tcPr>
            <w:tcW w:w="1440" w:type="dxa"/>
            <w:vAlign w:val="bottom"/>
          </w:tcPr>
          <w:p w:rsidR="00EA545B" w:rsidRPr="00CF5992" w:rsidRDefault="00EA545B" w:rsidP="00B40D61">
            <w:pPr>
              <w:pStyle w:val="NoSpacing"/>
              <w:spacing w:after="0"/>
              <w:jc w:val="center"/>
              <w:rPr>
                <w:b/>
                <w:sz w:val="24"/>
                <w:szCs w:val="24"/>
              </w:rPr>
            </w:pPr>
            <w:r w:rsidRPr="00CF5992">
              <w:rPr>
                <w:b/>
                <w:sz w:val="24"/>
                <w:szCs w:val="24"/>
              </w:rPr>
              <w:t>Program Services: Nonvisual Access Systems</w:t>
            </w:r>
          </w:p>
        </w:tc>
        <w:tc>
          <w:tcPr>
            <w:tcW w:w="1440" w:type="dxa"/>
            <w:vAlign w:val="bottom"/>
          </w:tcPr>
          <w:p w:rsidR="00EA545B" w:rsidRPr="00CF5992" w:rsidRDefault="00EA545B" w:rsidP="00B40D61">
            <w:pPr>
              <w:pStyle w:val="NoSpacing"/>
              <w:spacing w:after="0"/>
              <w:jc w:val="center"/>
              <w:rPr>
                <w:b/>
                <w:sz w:val="24"/>
                <w:szCs w:val="24"/>
              </w:rPr>
            </w:pPr>
            <w:r w:rsidRPr="00CF5992">
              <w:rPr>
                <w:b/>
                <w:sz w:val="24"/>
                <w:szCs w:val="24"/>
              </w:rPr>
              <w:t>Program Services: Total</w:t>
            </w:r>
          </w:p>
        </w:tc>
        <w:tc>
          <w:tcPr>
            <w:tcW w:w="1655" w:type="dxa"/>
            <w:vAlign w:val="bottom"/>
          </w:tcPr>
          <w:p w:rsidR="00EA545B" w:rsidRPr="00CF5992" w:rsidRDefault="00EA545B" w:rsidP="00B40D61">
            <w:pPr>
              <w:pStyle w:val="NoSpacing"/>
              <w:spacing w:after="0"/>
              <w:jc w:val="center"/>
              <w:rPr>
                <w:b/>
                <w:sz w:val="24"/>
                <w:szCs w:val="24"/>
              </w:rPr>
            </w:pPr>
            <w:r w:rsidRPr="00CF5992">
              <w:rPr>
                <w:b/>
                <w:sz w:val="24"/>
                <w:szCs w:val="24"/>
              </w:rPr>
              <w:t>Supporting Services: Management and General</w:t>
            </w:r>
          </w:p>
        </w:tc>
        <w:tc>
          <w:tcPr>
            <w:tcW w:w="1530" w:type="dxa"/>
            <w:vAlign w:val="bottom"/>
          </w:tcPr>
          <w:p w:rsidR="00EA545B" w:rsidRPr="00CF5992" w:rsidRDefault="00EA545B" w:rsidP="00B40D61">
            <w:pPr>
              <w:pStyle w:val="NoSpacing"/>
              <w:spacing w:after="0"/>
              <w:jc w:val="center"/>
              <w:rPr>
                <w:b/>
                <w:sz w:val="24"/>
                <w:szCs w:val="24"/>
              </w:rPr>
            </w:pPr>
            <w:r w:rsidRPr="00CF5992">
              <w:rPr>
                <w:b/>
                <w:sz w:val="24"/>
                <w:szCs w:val="24"/>
              </w:rPr>
              <w:t>Supporting Services: Fundraising</w:t>
            </w:r>
          </w:p>
        </w:tc>
        <w:tc>
          <w:tcPr>
            <w:tcW w:w="1530" w:type="dxa"/>
            <w:vAlign w:val="bottom"/>
          </w:tcPr>
          <w:p w:rsidR="00EA545B" w:rsidRPr="00CF5992" w:rsidRDefault="00EA545B" w:rsidP="00B40D61">
            <w:pPr>
              <w:pStyle w:val="NoSpacing"/>
              <w:spacing w:after="0"/>
              <w:jc w:val="center"/>
              <w:rPr>
                <w:b/>
                <w:sz w:val="24"/>
                <w:szCs w:val="24"/>
              </w:rPr>
            </w:pPr>
            <w:r w:rsidRPr="00CF5992">
              <w:rPr>
                <w:b/>
                <w:sz w:val="24"/>
                <w:szCs w:val="24"/>
              </w:rPr>
              <w:t>Supporting Services:</w:t>
            </w:r>
          </w:p>
          <w:p w:rsidR="00EA545B" w:rsidRPr="00CF5992" w:rsidRDefault="00EA545B" w:rsidP="00B40D61">
            <w:pPr>
              <w:pStyle w:val="NoSpacing"/>
              <w:spacing w:after="0"/>
              <w:jc w:val="center"/>
              <w:rPr>
                <w:b/>
                <w:sz w:val="24"/>
                <w:szCs w:val="24"/>
              </w:rPr>
            </w:pPr>
            <w:r w:rsidRPr="00CF5992">
              <w:rPr>
                <w:b/>
                <w:sz w:val="24"/>
                <w:szCs w:val="24"/>
              </w:rPr>
              <w:t>Total</w:t>
            </w:r>
          </w:p>
        </w:tc>
        <w:tc>
          <w:tcPr>
            <w:tcW w:w="1430" w:type="dxa"/>
            <w:vAlign w:val="bottom"/>
          </w:tcPr>
          <w:p w:rsidR="00EA545B" w:rsidRPr="00CF5992" w:rsidRDefault="00EA545B" w:rsidP="00B40D61">
            <w:pPr>
              <w:pStyle w:val="NoSpacing"/>
              <w:spacing w:after="0"/>
              <w:jc w:val="center"/>
              <w:rPr>
                <w:b/>
                <w:sz w:val="24"/>
                <w:szCs w:val="24"/>
              </w:rPr>
            </w:pPr>
            <w:r w:rsidRPr="00CF5992">
              <w:rPr>
                <w:b/>
                <w:sz w:val="24"/>
                <w:szCs w:val="24"/>
              </w:rPr>
              <w:t>GRAND TOTAL</w:t>
            </w:r>
          </w:p>
        </w:tc>
      </w:tr>
      <w:tr w:rsidR="00EA545B" w:rsidRPr="0038283C" w:rsidTr="00B40D61">
        <w:trPr>
          <w:cantSplit/>
          <w:trHeight w:val="440"/>
          <w:jc w:val="center"/>
        </w:trPr>
        <w:tc>
          <w:tcPr>
            <w:tcW w:w="2905" w:type="dxa"/>
            <w:vAlign w:val="center"/>
          </w:tcPr>
          <w:p w:rsidR="00EA545B" w:rsidRPr="000259AD" w:rsidRDefault="00EA545B" w:rsidP="00B40D61">
            <w:pPr>
              <w:pStyle w:val="NoSpacing"/>
              <w:spacing w:after="0"/>
              <w:rPr>
                <w:sz w:val="24"/>
                <w:szCs w:val="24"/>
              </w:rPr>
            </w:pPr>
            <w:r>
              <w:rPr>
                <w:sz w:val="24"/>
                <w:szCs w:val="24"/>
              </w:rPr>
              <w:t>Volunteer services</w:t>
            </w:r>
          </w:p>
        </w:tc>
        <w:tc>
          <w:tcPr>
            <w:tcW w:w="1440" w:type="dxa"/>
            <w:vAlign w:val="center"/>
          </w:tcPr>
          <w:p w:rsidR="00EA545B" w:rsidRPr="000259AD" w:rsidRDefault="00974995" w:rsidP="00B40D61">
            <w:pPr>
              <w:pStyle w:val="NoSpacing"/>
              <w:spacing w:after="0"/>
              <w:jc w:val="center"/>
              <w:rPr>
                <w:sz w:val="24"/>
                <w:szCs w:val="24"/>
              </w:rPr>
            </w:pPr>
            <w:r>
              <w:rPr>
                <w:sz w:val="24"/>
                <w:szCs w:val="24"/>
              </w:rPr>
              <w:t>$1,209,679</w:t>
            </w:r>
          </w:p>
        </w:tc>
        <w:tc>
          <w:tcPr>
            <w:tcW w:w="1800" w:type="dxa"/>
            <w:vAlign w:val="center"/>
          </w:tcPr>
          <w:p w:rsidR="00EA545B" w:rsidRPr="000259AD" w:rsidRDefault="00974995" w:rsidP="00B40D61">
            <w:pPr>
              <w:pStyle w:val="NoSpacing"/>
              <w:spacing w:after="0"/>
              <w:jc w:val="center"/>
              <w:rPr>
                <w:sz w:val="24"/>
                <w:szCs w:val="24"/>
              </w:rPr>
            </w:pPr>
            <w:r>
              <w:rPr>
                <w:sz w:val="24"/>
                <w:szCs w:val="24"/>
              </w:rPr>
              <w:t>$1,209,679</w:t>
            </w:r>
          </w:p>
        </w:tc>
        <w:tc>
          <w:tcPr>
            <w:tcW w:w="1440" w:type="dxa"/>
            <w:vAlign w:val="center"/>
          </w:tcPr>
          <w:p w:rsidR="00EA545B" w:rsidRPr="000259AD" w:rsidRDefault="00974995" w:rsidP="00B40D61">
            <w:pPr>
              <w:pStyle w:val="NoSpacing"/>
              <w:spacing w:after="0"/>
              <w:jc w:val="center"/>
              <w:rPr>
                <w:sz w:val="24"/>
                <w:szCs w:val="24"/>
              </w:rPr>
            </w:pPr>
            <w:r>
              <w:rPr>
                <w:sz w:val="24"/>
                <w:szCs w:val="24"/>
              </w:rPr>
              <w:t>$6</w:t>
            </w:r>
            <w:r w:rsidR="00EA545B">
              <w:rPr>
                <w:sz w:val="24"/>
                <w:szCs w:val="24"/>
              </w:rPr>
              <w:t>0</w:t>
            </w:r>
            <w:r>
              <w:rPr>
                <w:sz w:val="24"/>
                <w:szCs w:val="24"/>
              </w:rPr>
              <w:t>4,840</w:t>
            </w:r>
          </w:p>
        </w:tc>
        <w:tc>
          <w:tcPr>
            <w:tcW w:w="1440" w:type="dxa"/>
            <w:vAlign w:val="center"/>
          </w:tcPr>
          <w:p w:rsidR="00EA545B" w:rsidRPr="000259AD" w:rsidRDefault="00974995" w:rsidP="00B40D61">
            <w:pPr>
              <w:pStyle w:val="NoSpacing"/>
              <w:spacing w:after="0"/>
              <w:jc w:val="center"/>
              <w:rPr>
                <w:sz w:val="24"/>
                <w:szCs w:val="24"/>
              </w:rPr>
            </w:pPr>
            <w:r>
              <w:rPr>
                <w:sz w:val="24"/>
                <w:szCs w:val="24"/>
              </w:rPr>
              <w:t>$3,</w:t>
            </w:r>
            <w:r w:rsidR="00EA545B">
              <w:rPr>
                <w:sz w:val="24"/>
                <w:szCs w:val="24"/>
              </w:rPr>
              <w:t>0</w:t>
            </w:r>
            <w:r>
              <w:rPr>
                <w:sz w:val="24"/>
                <w:szCs w:val="24"/>
              </w:rPr>
              <w:t>24,198</w:t>
            </w:r>
          </w:p>
        </w:tc>
        <w:tc>
          <w:tcPr>
            <w:tcW w:w="1655"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30" w:type="dxa"/>
            <w:vAlign w:val="center"/>
          </w:tcPr>
          <w:p w:rsidR="00EA545B" w:rsidRPr="000259AD" w:rsidRDefault="00EA545B" w:rsidP="00B40D61">
            <w:pPr>
              <w:pStyle w:val="NoSpacing"/>
              <w:spacing w:after="0"/>
              <w:jc w:val="center"/>
              <w:rPr>
                <w:sz w:val="24"/>
                <w:szCs w:val="24"/>
              </w:rPr>
            </w:pPr>
            <w:r w:rsidRPr="000259AD">
              <w:rPr>
                <w:sz w:val="24"/>
                <w:szCs w:val="24"/>
              </w:rPr>
              <w:t>$</w:t>
            </w:r>
            <w:r w:rsidR="00974995">
              <w:rPr>
                <w:sz w:val="24"/>
                <w:szCs w:val="24"/>
              </w:rPr>
              <w:t>3,</w:t>
            </w:r>
            <w:r>
              <w:rPr>
                <w:sz w:val="24"/>
                <w:szCs w:val="24"/>
              </w:rPr>
              <w:t>0</w:t>
            </w:r>
            <w:r w:rsidR="00974995">
              <w:rPr>
                <w:sz w:val="24"/>
                <w:szCs w:val="24"/>
              </w:rPr>
              <w:t>24,198</w:t>
            </w:r>
          </w:p>
        </w:tc>
      </w:tr>
      <w:tr w:rsidR="00EA545B" w:rsidRPr="0038283C" w:rsidTr="00B40D61">
        <w:trPr>
          <w:cantSplit/>
          <w:trHeight w:val="350"/>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Salaries</w:t>
            </w:r>
          </w:p>
        </w:tc>
        <w:tc>
          <w:tcPr>
            <w:tcW w:w="1440" w:type="dxa"/>
            <w:vAlign w:val="center"/>
          </w:tcPr>
          <w:p w:rsidR="00EA545B" w:rsidRPr="000259AD" w:rsidRDefault="00974995" w:rsidP="00B40D61">
            <w:pPr>
              <w:pStyle w:val="NoSpacing"/>
              <w:spacing w:after="0"/>
              <w:jc w:val="center"/>
              <w:rPr>
                <w:sz w:val="24"/>
                <w:szCs w:val="24"/>
              </w:rPr>
            </w:pPr>
            <w:r>
              <w:rPr>
                <w:sz w:val="24"/>
                <w:szCs w:val="24"/>
              </w:rPr>
              <w:t>1,165,219</w:t>
            </w:r>
          </w:p>
        </w:tc>
        <w:tc>
          <w:tcPr>
            <w:tcW w:w="1800" w:type="dxa"/>
            <w:vAlign w:val="center"/>
          </w:tcPr>
          <w:p w:rsidR="00EA545B" w:rsidRPr="000259AD" w:rsidRDefault="00974995" w:rsidP="00B40D61">
            <w:pPr>
              <w:pStyle w:val="NoSpacing"/>
              <w:spacing w:after="0"/>
              <w:jc w:val="center"/>
              <w:rPr>
                <w:sz w:val="24"/>
                <w:szCs w:val="24"/>
              </w:rPr>
            </w:pPr>
            <w:r>
              <w:rPr>
                <w:sz w:val="24"/>
                <w:szCs w:val="24"/>
              </w:rPr>
              <w:t>1,344,484</w:t>
            </w:r>
          </w:p>
        </w:tc>
        <w:tc>
          <w:tcPr>
            <w:tcW w:w="1440" w:type="dxa"/>
            <w:vAlign w:val="center"/>
          </w:tcPr>
          <w:p w:rsidR="00EA545B" w:rsidRPr="000259AD" w:rsidRDefault="00974995" w:rsidP="00B40D61">
            <w:pPr>
              <w:pStyle w:val="NoSpacing"/>
              <w:spacing w:after="0"/>
              <w:jc w:val="center"/>
              <w:rPr>
                <w:sz w:val="24"/>
                <w:szCs w:val="24"/>
              </w:rPr>
            </w:pPr>
            <w:r>
              <w:rPr>
                <w:sz w:val="24"/>
                <w:szCs w:val="24"/>
              </w:rPr>
              <w:t>1,6</w:t>
            </w:r>
            <w:r w:rsidR="00EA545B">
              <w:rPr>
                <w:sz w:val="24"/>
                <w:szCs w:val="24"/>
              </w:rPr>
              <w:t>1</w:t>
            </w:r>
            <w:r>
              <w:rPr>
                <w:sz w:val="24"/>
                <w:szCs w:val="24"/>
              </w:rPr>
              <w:t>3,381</w:t>
            </w:r>
          </w:p>
        </w:tc>
        <w:tc>
          <w:tcPr>
            <w:tcW w:w="1440" w:type="dxa"/>
            <w:vAlign w:val="center"/>
          </w:tcPr>
          <w:p w:rsidR="00EA545B" w:rsidRPr="000259AD" w:rsidRDefault="00974995" w:rsidP="00B40D61">
            <w:pPr>
              <w:pStyle w:val="NoSpacing"/>
              <w:spacing w:after="0"/>
              <w:jc w:val="center"/>
              <w:rPr>
                <w:sz w:val="24"/>
                <w:szCs w:val="24"/>
              </w:rPr>
            </w:pPr>
            <w:r>
              <w:rPr>
                <w:sz w:val="24"/>
                <w:szCs w:val="24"/>
              </w:rPr>
              <w:t>4,123,084</w:t>
            </w:r>
          </w:p>
        </w:tc>
        <w:tc>
          <w:tcPr>
            <w:tcW w:w="1655" w:type="dxa"/>
            <w:vAlign w:val="center"/>
          </w:tcPr>
          <w:p w:rsidR="00EA545B" w:rsidRPr="000259AD" w:rsidRDefault="00974995" w:rsidP="00B40D61">
            <w:pPr>
              <w:pStyle w:val="NoSpacing"/>
              <w:spacing w:after="0"/>
              <w:jc w:val="center"/>
              <w:rPr>
                <w:sz w:val="24"/>
                <w:szCs w:val="24"/>
              </w:rPr>
            </w:pPr>
            <w:r>
              <w:rPr>
                <w:sz w:val="24"/>
                <w:szCs w:val="24"/>
              </w:rPr>
              <w:t>313,713</w:t>
            </w:r>
          </w:p>
        </w:tc>
        <w:tc>
          <w:tcPr>
            <w:tcW w:w="1530" w:type="dxa"/>
            <w:vAlign w:val="center"/>
          </w:tcPr>
          <w:p w:rsidR="00EA545B" w:rsidRPr="000259AD" w:rsidRDefault="00974995" w:rsidP="00B40D61">
            <w:pPr>
              <w:pStyle w:val="NoSpacing"/>
              <w:spacing w:after="0"/>
              <w:jc w:val="center"/>
              <w:rPr>
                <w:sz w:val="24"/>
                <w:szCs w:val="24"/>
              </w:rPr>
            </w:pPr>
            <w:r>
              <w:rPr>
                <w:sz w:val="24"/>
                <w:szCs w:val="24"/>
              </w:rPr>
              <w:t>44,816</w:t>
            </w:r>
          </w:p>
        </w:tc>
        <w:tc>
          <w:tcPr>
            <w:tcW w:w="1530" w:type="dxa"/>
            <w:vAlign w:val="center"/>
          </w:tcPr>
          <w:p w:rsidR="00EA545B" w:rsidRPr="000259AD" w:rsidRDefault="00974995" w:rsidP="00B40D61">
            <w:pPr>
              <w:pStyle w:val="NoSpacing"/>
              <w:spacing w:after="0"/>
              <w:jc w:val="center"/>
              <w:rPr>
                <w:sz w:val="24"/>
                <w:szCs w:val="24"/>
              </w:rPr>
            </w:pPr>
            <w:r>
              <w:rPr>
                <w:sz w:val="24"/>
                <w:szCs w:val="24"/>
              </w:rPr>
              <w:t>358,529</w:t>
            </w:r>
          </w:p>
        </w:tc>
        <w:tc>
          <w:tcPr>
            <w:tcW w:w="1430" w:type="dxa"/>
            <w:vAlign w:val="center"/>
          </w:tcPr>
          <w:p w:rsidR="00EA545B" w:rsidRPr="000259AD" w:rsidRDefault="00974995" w:rsidP="00B40D61">
            <w:pPr>
              <w:pStyle w:val="NoSpacing"/>
              <w:spacing w:after="0"/>
              <w:jc w:val="center"/>
              <w:rPr>
                <w:sz w:val="24"/>
                <w:szCs w:val="24"/>
              </w:rPr>
            </w:pPr>
            <w:r>
              <w:rPr>
                <w:sz w:val="24"/>
                <w:szCs w:val="24"/>
              </w:rPr>
              <w:t>4,481,613</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Payroll taxes and related expenses</w:t>
            </w:r>
          </w:p>
        </w:tc>
        <w:tc>
          <w:tcPr>
            <w:tcW w:w="1440" w:type="dxa"/>
            <w:vAlign w:val="center"/>
          </w:tcPr>
          <w:p w:rsidR="00EA545B" w:rsidRPr="00FF439F" w:rsidRDefault="00974995" w:rsidP="00B40D61">
            <w:pPr>
              <w:pStyle w:val="NoSpacing"/>
              <w:spacing w:after="0"/>
              <w:jc w:val="center"/>
              <w:rPr>
                <w:sz w:val="24"/>
                <w:szCs w:val="24"/>
                <w:u w:val="single"/>
              </w:rPr>
            </w:pPr>
            <w:r>
              <w:rPr>
                <w:sz w:val="24"/>
                <w:szCs w:val="24"/>
                <w:u w:val="single"/>
              </w:rPr>
              <w:t>200,92</w:t>
            </w:r>
            <w:r w:rsidR="00EA545B">
              <w:rPr>
                <w:sz w:val="24"/>
                <w:szCs w:val="24"/>
                <w:u w:val="single"/>
              </w:rPr>
              <w:t>1</w:t>
            </w:r>
          </w:p>
        </w:tc>
        <w:tc>
          <w:tcPr>
            <w:tcW w:w="1800" w:type="dxa"/>
            <w:vAlign w:val="center"/>
          </w:tcPr>
          <w:p w:rsidR="00EA545B" w:rsidRPr="00FF439F" w:rsidRDefault="00974995" w:rsidP="00B40D61">
            <w:pPr>
              <w:pStyle w:val="NoSpacing"/>
              <w:spacing w:after="0"/>
              <w:jc w:val="center"/>
              <w:rPr>
                <w:sz w:val="24"/>
                <w:szCs w:val="24"/>
                <w:u w:val="single"/>
              </w:rPr>
            </w:pPr>
            <w:r>
              <w:rPr>
                <w:sz w:val="24"/>
                <w:szCs w:val="24"/>
                <w:u w:val="single"/>
              </w:rPr>
              <w:t>231,020</w:t>
            </w:r>
          </w:p>
        </w:tc>
        <w:tc>
          <w:tcPr>
            <w:tcW w:w="1440" w:type="dxa"/>
            <w:vAlign w:val="center"/>
          </w:tcPr>
          <w:p w:rsidR="00EA545B" w:rsidRPr="00FF439F" w:rsidRDefault="00974995" w:rsidP="00B40D61">
            <w:pPr>
              <w:pStyle w:val="NoSpacing"/>
              <w:spacing w:after="0"/>
              <w:jc w:val="center"/>
              <w:rPr>
                <w:sz w:val="24"/>
                <w:szCs w:val="24"/>
                <w:u w:val="single"/>
              </w:rPr>
            </w:pPr>
            <w:r>
              <w:rPr>
                <w:sz w:val="24"/>
                <w:szCs w:val="24"/>
                <w:u w:val="single"/>
              </w:rPr>
              <w:t>276,170</w:t>
            </w:r>
          </w:p>
        </w:tc>
        <w:tc>
          <w:tcPr>
            <w:tcW w:w="1440" w:type="dxa"/>
            <w:vAlign w:val="center"/>
          </w:tcPr>
          <w:p w:rsidR="00EA545B" w:rsidRPr="00FF439F" w:rsidRDefault="00974995" w:rsidP="00B40D61">
            <w:pPr>
              <w:pStyle w:val="NoSpacing"/>
              <w:spacing w:after="0"/>
              <w:jc w:val="center"/>
              <w:rPr>
                <w:sz w:val="24"/>
                <w:szCs w:val="24"/>
                <w:u w:val="single"/>
              </w:rPr>
            </w:pPr>
            <w:r>
              <w:rPr>
                <w:sz w:val="24"/>
                <w:szCs w:val="24"/>
                <w:u w:val="single"/>
              </w:rPr>
              <w:t>708,111</w:t>
            </w:r>
          </w:p>
        </w:tc>
        <w:tc>
          <w:tcPr>
            <w:tcW w:w="1655" w:type="dxa"/>
            <w:vAlign w:val="center"/>
          </w:tcPr>
          <w:p w:rsidR="00EA545B" w:rsidRPr="00FF439F" w:rsidRDefault="00974995" w:rsidP="00B40D61">
            <w:pPr>
              <w:pStyle w:val="NoSpacing"/>
              <w:spacing w:after="0"/>
              <w:jc w:val="center"/>
              <w:rPr>
                <w:sz w:val="24"/>
                <w:szCs w:val="24"/>
                <w:u w:val="single"/>
              </w:rPr>
            </w:pPr>
            <w:r>
              <w:rPr>
                <w:sz w:val="24"/>
                <w:szCs w:val="24"/>
                <w:u w:val="single"/>
              </w:rPr>
              <w:t>54,432</w:t>
            </w:r>
          </w:p>
        </w:tc>
        <w:tc>
          <w:tcPr>
            <w:tcW w:w="1530" w:type="dxa"/>
            <w:vAlign w:val="center"/>
          </w:tcPr>
          <w:p w:rsidR="00EA545B" w:rsidRPr="00FF439F" w:rsidRDefault="00974995" w:rsidP="00B40D61">
            <w:pPr>
              <w:pStyle w:val="NoSpacing"/>
              <w:spacing w:after="0"/>
              <w:jc w:val="center"/>
              <w:rPr>
                <w:sz w:val="24"/>
                <w:szCs w:val="24"/>
                <w:u w:val="single"/>
              </w:rPr>
            </w:pPr>
            <w:r>
              <w:rPr>
                <w:sz w:val="24"/>
                <w:szCs w:val="24"/>
                <w:u w:val="single"/>
              </w:rPr>
              <w:t>7,525</w:t>
            </w:r>
          </w:p>
        </w:tc>
        <w:tc>
          <w:tcPr>
            <w:tcW w:w="1530" w:type="dxa"/>
            <w:vAlign w:val="center"/>
          </w:tcPr>
          <w:p w:rsidR="00EA545B" w:rsidRPr="00FF439F" w:rsidRDefault="00974995" w:rsidP="00B40D61">
            <w:pPr>
              <w:pStyle w:val="NoSpacing"/>
              <w:spacing w:after="0"/>
              <w:jc w:val="center"/>
              <w:rPr>
                <w:sz w:val="24"/>
                <w:szCs w:val="24"/>
                <w:u w:val="single"/>
              </w:rPr>
            </w:pPr>
            <w:r>
              <w:rPr>
                <w:sz w:val="24"/>
                <w:szCs w:val="24"/>
                <w:u w:val="single"/>
              </w:rPr>
              <w:t>61,957</w:t>
            </w:r>
          </w:p>
        </w:tc>
        <w:tc>
          <w:tcPr>
            <w:tcW w:w="1430" w:type="dxa"/>
            <w:vAlign w:val="center"/>
          </w:tcPr>
          <w:p w:rsidR="00EA545B" w:rsidRPr="00FF439F" w:rsidRDefault="00974995" w:rsidP="00B40D61">
            <w:pPr>
              <w:pStyle w:val="NoSpacing"/>
              <w:spacing w:after="0"/>
              <w:jc w:val="center"/>
              <w:rPr>
                <w:sz w:val="24"/>
                <w:szCs w:val="24"/>
                <w:u w:val="single"/>
              </w:rPr>
            </w:pPr>
            <w:r>
              <w:rPr>
                <w:sz w:val="24"/>
                <w:szCs w:val="24"/>
                <w:u w:val="single"/>
              </w:rPr>
              <w:t>770,068</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Total salaries and related expenses</w:t>
            </w:r>
          </w:p>
        </w:tc>
        <w:tc>
          <w:tcPr>
            <w:tcW w:w="1440" w:type="dxa"/>
            <w:vAlign w:val="center"/>
          </w:tcPr>
          <w:p w:rsidR="00EA545B" w:rsidRPr="000259AD" w:rsidRDefault="00974995" w:rsidP="00B40D61">
            <w:pPr>
              <w:pStyle w:val="NoSpacing"/>
              <w:spacing w:after="0"/>
              <w:jc w:val="center"/>
              <w:rPr>
                <w:sz w:val="24"/>
                <w:szCs w:val="24"/>
              </w:rPr>
            </w:pPr>
            <w:r>
              <w:rPr>
                <w:sz w:val="24"/>
                <w:szCs w:val="24"/>
              </w:rPr>
              <w:t>2,575,819</w:t>
            </w:r>
          </w:p>
        </w:tc>
        <w:tc>
          <w:tcPr>
            <w:tcW w:w="1800" w:type="dxa"/>
            <w:vAlign w:val="center"/>
          </w:tcPr>
          <w:p w:rsidR="00EA545B" w:rsidRPr="000259AD" w:rsidRDefault="00974995" w:rsidP="00B40D61">
            <w:pPr>
              <w:pStyle w:val="NoSpacing"/>
              <w:spacing w:after="0"/>
              <w:jc w:val="center"/>
              <w:rPr>
                <w:sz w:val="24"/>
                <w:szCs w:val="24"/>
              </w:rPr>
            </w:pPr>
            <w:r>
              <w:rPr>
                <w:sz w:val="24"/>
                <w:szCs w:val="24"/>
              </w:rPr>
              <w:t>2,785,183</w:t>
            </w:r>
          </w:p>
        </w:tc>
        <w:tc>
          <w:tcPr>
            <w:tcW w:w="1440" w:type="dxa"/>
            <w:vAlign w:val="center"/>
          </w:tcPr>
          <w:p w:rsidR="00EA545B" w:rsidRPr="000259AD" w:rsidRDefault="00974995" w:rsidP="00B40D61">
            <w:pPr>
              <w:pStyle w:val="NoSpacing"/>
              <w:spacing w:after="0"/>
              <w:jc w:val="center"/>
              <w:rPr>
                <w:sz w:val="24"/>
                <w:szCs w:val="24"/>
              </w:rPr>
            </w:pPr>
            <w:r>
              <w:rPr>
                <w:sz w:val="24"/>
                <w:szCs w:val="24"/>
              </w:rPr>
              <w:t>2,494,3</w:t>
            </w:r>
            <w:r w:rsidR="00EA545B">
              <w:rPr>
                <w:sz w:val="24"/>
                <w:szCs w:val="24"/>
              </w:rPr>
              <w:t>9</w:t>
            </w:r>
            <w:r>
              <w:rPr>
                <w:sz w:val="24"/>
                <w:szCs w:val="24"/>
              </w:rPr>
              <w:t>1</w:t>
            </w:r>
          </w:p>
        </w:tc>
        <w:tc>
          <w:tcPr>
            <w:tcW w:w="1440" w:type="dxa"/>
            <w:vAlign w:val="center"/>
          </w:tcPr>
          <w:p w:rsidR="00EA545B" w:rsidRPr="000259AD" w:rsidRDefault="00974995" w:rsidP="00B40D61">
            <w:pPr>
              <w:pStyle w:val="NoSpacing"/>
              <w:spacing w:after="0"/>
              <w:jc w:val="center"/>
              <w:rPr>
                <w:sz w:val="24"/>
                <w:szCs w:val="24"/>
              </w:rPr>
            </w:pPr>
            <w:r>
              <w:rPr>
                <w:sz w:val="24"/>
                <w:szCs w:val="24"/>
              </w:rPr>
              <w:t>7,855,393</w:t>
            </w:r>
          </w:p>
        </w:tc>
        <w:tc>
          <w:tcPr>
            <w:tcW w:w="1655" w:type="dxa"/>
            <w:vAlign w:val="center"/>
          </w:tcPr>
          <w:p w:rsidR="00EA545B" w:rsidRPr="000259AD" w:rsidRDefault="00974995" w:rsidP="00B40D61">
            <w:pPr>
              <w:pStyle w:val="NoSpacing"/>
              <w:spacing w:after="0"/>
              <w:jc w:val="center"/>
              <w:rPr>
                <w:sz w:val="24"/>
                <w:szCs w:val="24"/>
              </w:rPr>
            </w:pPr>
            <w:r>
              <w:rPr>
                <w:sz w:val="24"/>
                <w:szCs w:val="24"/>
              </w:rPr>
              <w:t>368,1</w:t>
            </w:r>
            <w:r w:rsidR="00EA545B">
              <w:rPr>
                <w:sz w:val="24"/>
                <w:szCs w:val="24"/>
              </w:rPr>
              <w:t>4</w:t>
            </w:r>
            <w:r>
              <w:rPr>
                <w:sz w:val="24"/>
                <w:szCs w:val="24"/>
              </w:rPr>
              <w:t>5</w:t>
            </w:r>
          </w:p>
        </w:tc>
        <w:tc>
          <w:tcPr>
            <w:tcW w:w="1530" w:type="dxa"/>
            <w:vAlign w:val="center"/>
          </w:tcPr>
          <w:p w:rsidR="00EA545B" w:rsidRPr="000259AD" w:rsidRDefault="00974995" w:rsidP="00B40D61">
            <w:pPr>
              <w:pStyle w:val="NoSpacing"/>
              <w:spacing w:after="0"/>
              <w:jc w:val="center"/>
              <w:rPr>
                <w:sz w:val="24"/>
                <w:szCs w:val="24"/>
              </w:rPr>
            </w:pPr>
            <w:r>
              <w:rPr>
                <w:sz w:val="24"/>
                <w:szCs w:val="24"/>
              </w:rPr>
              <w:t>52,341</w:t>
            </w:r>
          </w:p>
        </w:tc>
        <w:tc>
          <w:tcPr>
            <w:tcW w:w="1530" w:type="dxa"/>
            <w:vAlign w:val="center"/>
          </w:tcPr>
          <w:p w:rsidR="00EA545B" w:rsidRPr="000259AD" w:rsidRDefault="00974995" w:rsidP="00B40D61">
            <w:pPr>
              <w:pStyle w:val="NoSpacing"/>
              <w:spacing w:after="0"/>
              <w:jc w:val="center"/>
              <w:rPr>
                <w:sz w:val="24"/>
                <w:szCs w:val="24"/>
              </w:rPr>
            </w:pPr>
            <w:r>
              <w:rPr>
                <w:sz w:val="24"/>
                <w:szCs w:val="24"/>
              </w:rPr>
              <w:t>420,</w:t>
            </w:r>
            <w:r w:rsidR="00EA545B">
              <w:rPr>
                <w:sz w:val="24"/>
                <w:szCs w:val="24"/>
              </w:rPr>
              <w:t>4</w:t>
            </w:r>
            <w:r>
              <w:rPr>
                <w:sz w:val="24"/>
                <w:szCs w:val="24"/>
              </w:rPr>
              <w:t>86</w:t>
            </w:r>
          </w:p>
        </w:tc>
        <w:tc>
          <w:tcPr>
            <w:tcW w:w="1430" w:type="dxa"/>
            <w:vAlign w:val="center"/>
          </w:tcPr>
          <w:p w:rsidR="00EA545B" w:rsidRPr="000259AD" w:rsidRDefault="00974995" w:rsidP="00B40D61">
            <w:pPr>
              <w:pStyle w:val="NoSpacing"/>
              <w:spacing w:after="0"/>
              <w:jc w:val="center"/>
              <w:rPr>
                <w:sz w:val="24"/>
                <w:szCs w:val="24"/>
              </w:rPr>
            </w:pPr>
            <w:r>
              <w:rPr>
                <w:sz w:val="24"/>
                <w:szCs w:val="24"/>
              </w:rPr>
              <w:t>8,275,879</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Supplies</w:t>
            </w:r>
          </w:p>
        </w:tc>
        <w:tc>
          <w:tcPr>
            <w:tcW w:w="1440" w:type="dxa"/>
            <w:vAlign w:val="center"/>
          </w:tcPr>
          <w:p w:rsidR="00EA545B" w:rsidRPr="000259AD" w:rsidRDefault="00974995" w:rsidP="00974995">
            <w:pPr>
              <w:pStyle w:val="NoSpacing"/>
              <w:spacing w:after="0"/>
              <w:jc w:val="center"/>
              <w:rPr>
                <w:sz w:val="24"/>
                <w:szCs w:val="24"/>
              </w:rPr>
            </w:pPr>
            <w:r>
              <w:rPr>
                <w:sz w:val="24"/>
                <w:szCs w:val="24"/>
              </w:rPr>
              <w:t>114,525</w:t>
            </w:r>
          </w:p>
        </w:tc>
        <w:tc>
          <w:tcPr>
            <w:tcW w:w="1800" w:type="dxa"/>
            <w:vAlign w:val="center"/>
          </w:tcPr>
          <w:p w:rsidR="00EA545B" w:rsidRPr="000259AD" w:rsidRDefault="00974995" w:rsidP="00B40D61">
            <w:pPr>
              <w:pStyle w:val="NoSpacing"/>
              <w:spacing w:after="0"/>
              <w:jc w:val="center"/>
              <w:rPr>
                <w:sz w:val="24"/>
                <w:szCs w:val="24"/>
              </w:rPr>
            </w:pPr>
            <w:r>
              <w:rPr>
                <w:sz w:val="24"/>
                <w:szCs w:val="24"/>
              </w:rPr>
              <w:t>80,255</w:t>
            </w:r>
          </w:p>
        </w:tc>
        <w:tc>
          <w:tcPr>
            <w:tcW w:w="1440" w:type="dxa"/>
            <w:vAlign w:val="center"/>
          </w:tcPr>
          <w:p w:rsidR="00EA545B" w:rsidRPr="000259AD" w:rsidRDefault="00974995" w:rsidP="00B40D61">
            <w:pPr>
              <w:pStyle w:val="NoSpacing"/>
              <w:spacing w:after="0"/>
              <w:jc w:val="center"/>
              <w:rPr>
                <w:sz w:val="24"/>
                <w:szCs w:val="24"/>
              </w:rPr>
            </w:pPr>
            <w:r>
              <w:rPr>
                <w:sz w:val="24"/>
                <w:szCs w:val="24"/>
              </w:rPr>
              <w:t>3</w:t>
            </w:r>
            <w:r w:rsidR="00EA545B">
              <w:rPr>
                <w:sz w:val="24"/>
                <w:szCs w:val="24"/>
              </w:rPr>
              <w:t>7</w:t>
            </w:r>
            <w:r>
              <w:rPr>
                <w:sz w:val="24"/>
                <w:szCs w:val="24"/>
              </w:rPr>
              <w:t>5,023</w:t>
            </w:r>
          </w:p>
        </w:tc>
        <w:tc>
          <w:tcPr>
            <w:tcW w:w="1440" w:type="dxa"/>
            <w:vAlign w:val="center"/>
          </w:tcPr>
          <w:p w:rsidR="00EA545B" w:rsidRPr="000259AD" w:rsidRDefault="00EA545B" w:rsidP="00B40D61">
            <w:pPr>
              <w:pStyle w:val="NoSpacing"/>
              <w:spacing w:after="0"/>
              <w:jc w:val="center"/>
              <w:rPr>
                <w:sz w:val="24"/>
                <w:szCs w:val="24"/>
              </w:rPr>
            </w:pPr>
            <w:r>
              <w:rPr>
                <w:sz w:val="24"/>
                <w:szCs w:val="24"/>
              </w:rPr>
              <w:t>5</w:t>
            </w:r>
            <w:r w:rsidR="00974995">
              <w:rPr>
                <w:sz w:val="24"/>
                <w:szCs w:val="24"/>
              </w:rPr>
              <w:t>69,803</w:t>
            </w:r>
          </w:p>
        </w:tc>
        <w:tc>
          <w:tcPr>
            <w:tcW w:w="1655" w:type="dxa"/>
            <w:vAlign w:val="center"/>
          </w:tcPr>
          <w:p w:rsidR="00EA545B" w:rsidRPr="000259AD" w:rsidRDefault="00974995" w:rsidP="00B40D61">
            <w:pPr>
              <w:pStyle w:val="NoSpacing"/>
              <w:spacing w:after="0"/>
              <w:jc w:val="center"/>
              <w:rPr>
                <w:sz w:val="24"/>
                <w:szCs w:val="24"/>
              </w:rPr>
            </w:pPr>
            <w:r>
              <w:rPr>
                <w:sz w:val="24"/>
                <w:szCs w:val="24"/>
              </w:rPr>
              <w:t>10,926</w:t>
            </w:r>
          </w:p>
        </w:tc>
        <w:tc>
          <w:tcPr>
            <w:tcW w:w="1530" w:type="dxa"/>
            <w:vAlign w:val="center"/>
          </w:tcPr>
          <w:p w:rsidR="00EA545B" w:rsidRPr="000259AD" w:rsidRDefault="00974995" w:rsidP="00B40D61">
            <w:pPr>
              <w:pStyle w:val="NoSpacing"/>
              <w:spacing w:after="0"/>
              <w:jc w:val="center"/>
              <w:rPr>
                <w:sz w:val="24"/>
                <w:szCs w:val="24"/>
              </w:rPr>
            </w:pPr>
            <w:r>
              <w:rPr>
                <w:sz w:val="24"/>
                <w:szCs w:val="24"/>
              </w:rPr>
              <w:t>2,9</w:t>
            </w:r>
            <w:r w:rsidR="00EA545B">
              <w:rPr>
                <w:sz w:val="24"/>
                <w:szCs w:val="24"/>
              </w:rPr>
              <w:t>6</w:t>
            </w:r>
            <w:r>
              <w:rPr>
                <w:sz w:val="24"/>
                <w:szCs w:val="24"/>
              </w:rPr>
              <w:t>5</w:t>
            </w:r>
          </w:p>
        </w:tc>
        <w:tc>
          <w:tcPr>
            <w:tcW w:w="1530" w:type="dxa"/>
            <w:vAlign w:val="center"/>
          </w:tcPr>
          <w:p w:rsidR="00EA545B" w:rsidRPr="000259AD" w:rsidRDefault="00974995" w:rsidP="00B40D61">
            <w:pPr>
              <w:pStyle w:val="NoSpacing"/>
              <w:spacing w:after="0"/>
              <w:jc w:val="center"/>
              <w:rPr>
                <w:sz w:val="24"/>
                <w:szCs w:val="24"/>
              </w:rPr>
            </w:pPr>
            <w:r>
              <w:rPr>
                <w:sz w:val="24"/>
                <w:szCs w:val="24"/>
              </w:rPr>
              <w:t>13,891</w:t>
            </w:r>
          </w:p>
        </w:tc>
        <w:tc>
          <w:tcPr>
            <w:tcW w:w="1430" w:type="dxa"/>
            <w:vAlign w:val="center"/>
          </w:tcPr>
          <w:p w:rsidR="00EA545B" w:rsidRPr="000259AD" w:rsidRDefault="00974995" w:rsidP="00B40D61">
            <w:pPr>
              <w:pStyle w:val="NoSpacing"/>
              <w:spacing w:after="0"/>
              <w:jc w:val="center"/>
              <w:rPr>
                <w:sz w:val="24"/>
                <w:szCs w:val="24"/>
              </w:rPr>
            </w:pPr>
            <w:r>
              <w:rPr>
                <w:sz w:val="24"/>
                <w:szCs w:val="24"/>
              </w:rPr>
              <w:t>583,694</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Postage and shipping</w:t>
            </w:r>
          </w:p>
        </w:tc>
        <w:tc>
          <w:tcPr>
            <w:tcW w:w="1440" w:type="dxa"/>
            <w:vAlign w:val="center"/>
          </w:tcPr>
          <w:p w:rsidR="00EA545B" w:rsidRPr="000259AD" w:rsidRDefault="001D1269" w:rsidP="00B40D61">
            <w:pPr>
              <w:pStyle w:val="NoSpacing"/>
              <w:spacing w:after="0"/>
              <w:jc w:val="center"/>
              <w:rPr>
                <w:sz w:val="24"/>
                <w:szCs w:val="24"/>
              </w:rPr>
            </w:pPr>
            <w:r>
              <w:rPr>
                <w:sz w:val="24"/>
                <w:szCs w:val="24"/>
              </w:rPr>
              <w:t>744,436</w:t>
            </w:r>
          </w:p>
        </w:tc>
        <w:tc>
          <w:tcPr>
            <w:tcW w:w="1800" w:type="dxa"/>
            <w:vAlign w:val="center"/>
          </w:tcPr>
          <w:p w:rsidR="00EA545B" w:rsidRPr="000259AD" w:rsidRDefault="001D1269" w:rsidP="00B40D61">
            <w:pPr>
              <w:pStyle w:val="NoSpacing"/>
              <w:spacing w:after="0"/>
              <w:jc w:val="center"/>
              <w:rPr>
                <w:sz w:val="24"/>
                <w:szCs w:val="24"/>
              </w:rPr>
            </w:pPr>
            <w:r>
              <w:rPr>
                <w:sz w:val="24"/>
                <w:szCs w:val="24"/>
              </w:rPr>
              <w:t>14,021</w:t>
            </w:r>
          </w:p>
        </w:tc>
        <w:tc>
          <w:tcPr>
            <w:tcW w:w="1440" w:type="dxa"/>
            <w:vAlign w:val="center"/>
          </w:tcPr>
          <w:p w:rsidR="00EA545B" w:rsidRPr="000259AD" w:rsidRDefault="001D1269" w:rsidP="00B40D61">
            <w:pPr>
              <w:pStyle w:val="NoSpacing"/>
              <w:spacing w:after="0"/>
              <w:jc w:val="center"/>
              <w:rPr>
                <w:sz w:val="24"/>
                <w:szCs w:val="24"/>
              </w:rPr>
            </w:pPr>
            <w:r>
              <w:rPr>
                <w:sz w:val="24"/>
                <w:szCs w:val="24"/>
              </w:rPr>
              <w:t>15,036</w:t>
            </w:r>
          </w:p>
        </w:tc>
        <w:tc>
          <w:tcPr>
            <w:tcW w:w="1440" w:type="dxa"/>
            <w:vAlign w:val="center"/>
          </w:tcPr>
          <w:p w:rsidR="00EA545B" w:rsidRPr="000259AD" w:rsidRDefault="001D1269" w:rsidP="00B40D61">
            <w:pPr>
              <w:pStyle w:val="NoSpacing"/>
              <w:spacing w:after="0"/>
              <w:jc w:val="center"/>
              <w:rPr>
                <w:sz w:val="24"/>
                <w:szCs w:val="24"/>
              </w:rPr>
            </w:pPr>
            <w:r>
              <w:rPr>
                <w:sz w:val="24"/>
                <w:szCs w:val="24"/>
              </w:rPr>
              <w:t>773,493</w:t>
            </w:r>
          </w:p>
        </w:tc>
        <w:tc>
          <w:tcPr>
            <w:tcW w:w="1655" w:type="dxa"/>
            <w:vAlign w:val="center"/>
          </w:tcPr>
          <w:p w:rsidR="00EA545B" w:rsidRPr="000259AD" w:rsidRDefault="001D1269" w:rsidP="00B40D61">
            <w:pPr>
              <w:pStyle w:val="NoSpacing"/>
              <w:spacing w:after="0"/>
              <w:jc w:val="center"/>
              <w:rPr>
                <w:sz w:val="24"/>
                <w:szCs w:val="24"/>
              </w:rPr>
            </w:pPr>
            <w:r>
              <w:rPr>
                <w:sz w:val="24"/>
                <w:szCs w:val="24"/>
              </w:rPr>
              <w:t>2,241</w:t>
            </w:r>
          </w:p>
        </w:tc>
        <w:tc>
          <w:tcPr>
            <w:tcW w:w="1530" w:type="dxa"/>
            <w:vAlign w:val="center"/>
          </w:tcPr>
          <w:p w:rsidR="00EA545B" w:rsidRPr="000259AD" w:rsidRDefault="00EA545B" w:rsidP="00B40D61">
            <w:pPr>
              <w:pStyle w:val="NoSpacing"/>
              <w:spacing w:after="0"/>
              <w:jc w:val="center"/>
              <w:rPr>
                <w:sz w:val="24"/>
                <w:szCs w:val="24"/>
              </w:rPr>
            </w:pPr>
            <w:r>
              <w:rPr>
                <w:sz w:val="24"/>
                <w:szCs w:val="24"/>
              </w:rPr>
              <w:t>7</w:t>
            </w:r>
            <w:r w:rsidR="001D1269">
              <w:rPr>
                <w:sz w:val="24"/>
                <w:szCs w:val="24"/>
              </w:rPr>
              <w:t>52,420</w:t>
            </w:r>
          </w:p>
        </w:tc>
        <w:tc>
          <w:tcPr>
            <w:tcW w:w="1530" w:type="dxa"/>
            <w:vAlign w:val="center"/>
          </w:tcPr>
          <w:p w:rsidR="00EA545B" w:rsidRPr="000259AD" w:rsidRDefault="001D1269" w:rsidP="00B40D61">
            <w:pPr>
              <w:pStyle w:val="NoSpacing"/>
              <w:spacing w:after="0"/>
              <w:jc w:val="center"/>
              <w:rPr>
                <w:sz w:val="24"/>
                <w:szCs w:val="24"/>
              </w:rPr>
            </w:pPr>
            <w:r>
              <w:rPr>
                <w:sz w:val="24"/>
                <w:szCs w:val="24"/>
              </w:rPr>
              <w:t>754,66</w:t>
            </w:r>
            <w:r w:rsidR="00EA545B">
              <w:rPr>
                <w:sz w:val="24"/>
                <w:szCs w:val="24"/>
              </w:rPr>
              <w:t>1</w:t>
            </w:r>
          </w:p>
        </w:tc>
        <w:tc>
          <w:tcPr>
            <w:tcW w:w="1430" w:type="dxa"/>
            <w:vAlign w:val="center"/>
          </w:tcPr>
          <w:p w:rsidR="00EA545B" w:rsidRPr="000259AD" w:rsidRDefault="001D1269" w:rsidP="00B40D61">
            <w:pPr>
              <w:pStyle w:val="NoSpacing"/>
              <w:spacing w:after="0"/>
              <w:jc w:val="center"/>
              <w:rPr>
                <w:sz w:val="24"/>
                <w:szCs w:val="24"/>
              </w:rPr>
            </w:pPr>
            <w:r>
              <w:rPr>
                <w:sz w:val="24"/>
                <w:szCs w:val="24"/>
              </w:rPr>
              <w:t>1,528,154</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Printing and publications</w:t>
            </w:r>
          </w:p>
        </w:tc>
        <w:tc>
          <w:tcPr>
            <w:tcW w:w="1440" w:type="dxa"/>
            <w:vAlign w:val="center"/>
          </w:tcPr>
          <w:p w:rsidR="00EA545B" w:rsidRPr="000259AD" w:rsidRDefault="001D1269" w:rsidP="00B40D61">
            <w:pPr>
              <w:pStyle w:val="NoSpacing"/>
              <w:spacing w:after="0"/>
              <w:jc w:val="center"/>
              <w:rPr>
                <w:sz w:val="24"/>
                <w:szCs w:val="24"/>
              </w:rPr>
            </w:pPr>
            <w:r>
              <w:rPr>
                <w:sz w:val="24"/>
                <w:szCs w:val="24"/>
              </w:rPr>
              <w:t>3,091,530</w:t>
            </w:r>
          </w:p>
        </w:tc>
        <w:tc>
          <w:tcPr>
            <w:tcW w:w="1800" w:type="dxa"/>
            <w:vAlign w:val="center"/>
          </w:tcPr>
          <w:p w:rsidR="00EA545B" w:rsidRPr="000259AD" w:rsidRDefault="001D1269" w:rsidP="00B40D61">
            <w:pPr>
              <w:pStyle w:val="NoSpacing"/>
              <w:spacing w:after="0"/>
              <w:jc w:val="center"/>
              <w:rPr>
                <w:sz w:val="24"/>
                <w:szCs w:val="24"/>
              </w:rPr>
            </w:pPr>
            <w:r>
              <w:rPr>
                <w:sz w:val="24"/>
                <w:szCs w:val="24"/>
              </w:rPr>
              <w:t>54,365</w:t>
            </w:r>
          </w:p>
        </w:tc>
        <w:tc>
          <w:tcPr>
            <w:tcW w:w="1440" w:type="dxa"/>
            <w:vAlign w:val="center"/>
          </w:tcPr>
          <w:p w:rsidR="00EA545B" w:rsidRPr="000259AD" w:rsidRDefault="001D1269" w:rsidP="00B40D61">
            <w:pPr>
              <w:pStyle w:val="NoSpacing"/>
              <w:spacing w:after="0"/>
              <w:jc w:val="center"/>
              <w:rPr>
                <w:sz w:val="24"/>
                <w:szCs w:val="24"/>
              </w:rPr>
            </w:pPr>
            <w:r>
              <w:rPr>
                <w:sz w:val="24"/>
                <w:szCs w:val="24"/>
              </w:rPr>
              <w:t>27,947</w:t>
            </w:r>
          </w:p>
        </w:tc>
        <w:tc>
          <w:tcPr>
            <w:tcW w:w="1440" w:type="dxa"/>
            <w:vAlign w:val="center"/>
          </w:tcPr>
          <w:p w:rsidR="00EA545B" w:rsidRPr="000259AD" w:rsidRDefault="001D1269" w:rsidP="00B40D61">
            <w:pPr>
              <w:pStyle w:val="NoSpacing"/>
              <w:spacing w:after="0"/>
              <w:jc w:val="center"/>
              <w:rPr>
                <w:sz w:val="24"/>
                <w:szCs w:val="24"/>
              </w:rPr>
            </w:pPr>
            <w:r>
              <w:rPr>
                <w:sz w:val="24"/>
                <w:szCs w:val="24"/>
              </w:rPr>
              <w:t>3,173</w:t>
            </w:r>
            <w:r w:rsidR="00EA545B">
              <w:rPr>
                <w:sz w:val="24"/>
                <w:szCs w:val="24"/>
              </w:rPr>
              <w:t>,</w:t>
            </w:r>
            <w:r>
              <w:rPr>
                <w:sz w:val="24"/>
                <w:szCs w:val="24"/>
              </w:rPr>
              <w:t>8</w:t>
            </w:r>
            <w:r w:rsidR="00EA545B">
              <w:rPr>
                <w:sz w:val="24"/>
                <w:szCs w:val="24"/>
              </w:rPr>
              <w:t>4</w:t>
            </w:r>
            <w:r>
              <w:rPr>
                <w:sz w:val="24"/>
                <w:szCs w:val="24"/>
              </w:rPr>
              <w:t>2</w:t>
            </w:r>
          </w:p>
        </w:tc>
        <w:tc>
          <w:tcPr>
            <w:tcW w:w="1655" w:type="dxa"/>
            <w:vAlign w:val="center"/>
          </w:tcPr>
          <w:p w:rsidR="00EA545B" w:rsidRPr="000259AD" w:rsidRDefault="001D1269" w:rsidP="00B40D61">
            <w:pPr>
              <w:pStyle w:val="NoSpacing"/>
              <w:spacing w:after="0"/>
              <w:jc w:val="center"/>
              <w:rPr>
                <w:sz w:val="24"/>
                <w:szCs w:val="24"/>
              </w:rPr>
            </w:pPr>
            <w:r>
              <w:rPr>
                <w:sz w:val="24"/>
                <w:szCs w:val="24"/>
              </w:rPr>
              <w:t>1,275</w:t>
            </w:r>
          </w:p>
        </w:tc>
        <w:tc>
          <w:tcPr>
            <w:tcW w:w="1530" w:type="dxa"/>
            <w:vAlign w:val="center"/>
          </w:tcPr>
          <w:p w:rsidR="00EA545B" w:rsidRPr="000259AD" w:rsidRDefault="001D1269" w:rsidP="00B40D61">
            <w:pPr>
              <w:pStyle w:val="NoSpacing"/>
              <w:spacing w:after="0"/>
              <w:jc w:val="center"/>
              <w:rPr>
                <w:sz w:val="24"/>
                <w:szCs w:val="24"/>
              </w:rPr>
            </w:pPr>
            <w:r>
              <w:rPr>
                <w:sz w:val="24"/>
                <w:szCs w:val="24"/>
              </w:rPr>
              <w:t>697,2</w:t>
            </w:r>
            <w:r w:rsidR="00EA545B">
              <w:rPr>
                <w:sz w:val="24"/>
                <w:szCs w:val="24"/>
              </w:rPr>
              <w:t>4</w:t>
            </w:r>
            <w:r>
              <w:rPr>
                <w:sz w:val="24"/>
                <w:szCs w:val="24"/>
              </w:rPr>
              <w:t>6</w:t>
            </w:r>
          </w:p>
        </w:tc>
        <w:tc>
          <w:tcPr>
            <w:tcW w:w="1530" w:type="dxa"/>
            <w:vAlign w:val="center"/>
          </w:tcPr>
          <w:p w:rsidR="00EA545B" w:rsidRPr="000259AD" w:rsidRDefault="001D1269" w:rsidP="00B40D61">
            <w:pPr>
              <w:pStyle w:val="NoSpacing"/>
              <w:spacing w:after="0"/>
              <w:jc w:val="center"/>
              <w:rPr>
                <w:sz w:val="24"/>
                <w:szCs w:val="24"/>
              </w:rPr>
            </w:pPr>
            <w:r>
              <w:rPr>
                <w:sz w:val="24"/>
                <w:szCs w:val="24"/>
              </w:rPr>
              <w:t>698,521</w:t>
            </w:r>
          </w:p>
        </w:tc>
        <w:tc>
          <w:tcPr>
            <w:tcW w:w="1430" w:type="dxa"/>
            <w:vAlign w:val="center"/>
          </w:tcPr>
          <w:p w:rsidR="00EA545B" w:rsidRPr="000259AD" w:rsidRDefault="001D1269" w:rsidP="00B40D61">
            <w:pPr>
              <w:pStyle w:val="NoSpacing"/>
              <w:spacing w:after="0"/>
              <w:jc w:val="center"/>
              <w:rPr>
                <w:sz w:val="24"/>
                <w:szCs w:val="24"/>
              </w:rPr>
            </w:pPr>
            <w:r>
              <w:rPr>
                <w:sz w:val="24"/>
                <w:szCs w:val="24"/>
              </w:rPr>
              <w:t>3,8</w:t>
            </w:r>
            <w:r w:rsidR="00EA545B">
              <w:rPr>
                <w:sz w:val="24"/>
                <w:szCs w:val="24"/>
              </w:rPr>
              <w:t>7</w:t>
            </w:r>
            <w:r>
              <w:rPr>
                <w:sz w:val="24"/>
                <w:szCs w:val="24"/>
              </w:rPr>
              <w:t>2,36</w:t>
            </w:r>
            <w:r w:rsidR="00EA545B">
              <w:rPr>
                <w:sz w:val="24"/>
                <w:szCs w:val="24"/>
              </w:rPr>
              <w:t>3</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Travel</w:t>
            </w:r>
          </w:p>
        </w:tc>
        <w:tc>
          <w:tcPr>
            <w:tcW w:w="1440" w:type="dxa"/>
            <w:vAlign w:val="center"/>
          </w:tcPr>
          <w:p w:rsidR="00EA545B" w:rsidRPr="000259AD" w:rsidRDefault="001D1269" w:rsidP="00B40D61">
            <w:pPr>
              <w:pStyle w:val="NoSpacing"/>
              <w:spacing w:after="0"/>
              <w:jc w:val="center"/>
              <w:rPr>
                <w:sz w:val="24"/>
                <w:szCs w:val="24"/>
              </w:rPr>
            </w:pPr>
            <w:r>
              <w:rPr>
                <w:sz w:val="24"/>
                <w:szCs w:val="24"/>
              </w:rPr>
              <w:t>91,640</w:t>
            </w:r>
          </w:p>
        </w:tc>
        <w:tc>
          <w:tcPr>
            <w:tcW w:w="1800" w:type="dxa"/>
            <w:vAlign w:val="center"/>
          </w:tcPr>
          <w:p w:rsidR="00EA545B" w:rsidRPr="000259AD" w:rsidRDefault="001D1269" w:rsidP="00B40D61">
            <w:pPr>
              <w:pStyle w:val="NoSpacing"/>
              <w:spacing w:after="0"/>
              <w:jc w:val="center"/>
              <w:rPr>
                <w:sz w:val="24"/>
                <w:szCs w:val="24"/>
              </w:rPr>
            </w:pPr>
            <w:r>
              <w:rPr>
                <w:sz w:val="24"/>
                <w:szCs w:val="24"/>
              </w:rPr>
              <w:t>396,474</w:t>
            </w:r>
          </w:p>
        </w:tc>
        <w:tc>
          <w:tcPr>
            <w:tcW w:w="1440" w:type="dxa"/>
            <w:vAlign w:val="center"/>
          </w:tcPr>
          <w:p w:rsidR="00EA545B" w:rsidRPr="000259AD" w:rsidRDefault="001D1269" w:rsidP="00B40D61">
            <w:pPr>
              <w:pStyle w:val="NoSpacing"/>
              <w:spacing w:after="0"/>
              <w:jc w:val="center"/>
              <w:rPr>
                <w:sz w:val="24"/>
                <w:szCs w:val="24"/>
              </w:rPr>
            </w:pPr>
            <w:r>
              <w:rPr>
                <w:sz w:val="24"/>
                <w:szCs w:val="24"/>
              </w:rPr>
              <w:t>68,276</w:t>
            </w:r>
          </w:p>
        </w:tc>
        <w:tc>
          <w:tcPr>
            <w:tcW w:w="1440" w:type="dxa"/>
            <w:vAlign w:val="center"/>
          </w:tcPr>
          <w:p w:rsidR="00EA545B" w:rsidRPr="000259AD" w:rsidRDefault="001D1269" w:rsidP="00B40D61">
            <w:pPr>
              <w:pStyle w:val="NoSpacing"/>
              <w:spacing w:after="0"/>
              <w:jc w:val="center"/>
              <w:rPr>
                <w:sz w:val="24"/>
                <w:szCs w:val="24"/>
              </w:rPr>
            </w:pPr>
            <w:r>
              <w:rPr>
                <w:sz w:val="24"/>
                <w:szCs w:val="24"/>
              </w:rPr>
              <w:t>556,390</w:t>
            </w:r>
          </w:p>
        </w:tc>
        <w:tc>
          <w:tcPr>
            <w:tcW w:w="1655" w:type="dxa"/>
            <w:vAlign w:val="center"/>
          </w:tcPr>
          <w:p w:rsidR="00EA545B" w:rsidRPr="000259AD" w:rsidRDefault="001D1269" w:rsidP="00B40D61">
            <w:pPr>
              <w:pStyle w:val="NoSpacing"/>
              <w:spacing w:after="0"/>
              <w:jc w:val="center"/>
              <w:rPr>
                <w:sz w:val="24"/>
                <w:szCs w:val="24"/>
              </w:rPr>
            </w:pPr>
            <w:r>
              <w:rPr>
                <w:sz w:val="24"/>
                <w:szCs w:val="24"/>
              </w:rPr>
              <w:t>12</w:t>
            </w:r>
            <w:r w:rsidR="00EA545B">
              <w:rPr>
                <w:sz w:val="24"/>
                <w:szCs w:val="24"/>
              </w:rPr>
              <w:t>,</w:t>
            </w:r>
            <w:r>
              <w:rPr>
                <w:sz w:val="24"/>
                <w:szCs w:val="24"/>
              </w:rPr>
              <w:t>697</w:t>
            </w:r>
          </w:p>
        </w:tc>
        <w:tc>
          <w:tcPr>
            <w:tcW w:w="1530" w:type="dxa"/>
            <w:vAlign w:val="center"/>
          </w:tcPr>
          <w:p w:rsidR="00EA545B" w:rsidRPr="000259AD" w:rsidRDefault="001D1269" w:rsidP="00B40D61">
            <w:pPr>
              <w:pStyle w:val="NoSpacing"/>
              <w:spacing w:after="0"/>
              <w:jc w:val="center"/>
              <w:rPr>
                <w:sz w:val="24"/>
                <w:szCs w:val="24"/>
              </w:rPr>
            </w:pPr>
            <w:r>
              <w:rPr>
                <w:sz w:val="24"/>
                <w:szCs w:val="24"/>
              </w:rPr>
              <w:t>--</w:t>
            </w:r>
          </w:p>
        </w:tc>
        <w:tc>
          <w:tcPr>
            <w:tcW w:w="1530" w:type="dxa"/>
            <w:vAlign w:val="center"/>
          </w:tcPr>
          <w:p w:rsidR="00EA545B" w:rsidRPr="000259AD" w:rsidRDefault="001D1269" w:rsidP="00B40D61">
            <w:pPr>
              <w:pStyle w:val="NoSpacing"/>
              <w:spacing w:after="0"/>
              <w:jc w:val="center"/>
              <w:rPr>
                <w:sz w:val="24"/>
                <w:szCs w:val="24"/>
              </w:rPr>
            </w:pPr>
            <w:r>
              <w:rPr>
                <w:sz w:val="24"/>
                <w:szCs w:val="24"/>
              </w:rPr>
              <w:t>12,697</w:t>
            </w:r>
          </w:p>
        </w:tc>
        <w:tc>
          <w:tcPr>
            <w:tcW w:w="1430" w:type="dxa"/>
            <w:vAlign w:val="center"/>
          </w:tcPr>
          <w:p w:rsidR="00EA545B" w:rsidRPr="000259AD" w:rsidRDefault="001D1269" w:rsidP="00B40D61">
            <w:pPr>
              <w:pStyle w:val="NoSpacing"/>
              <w:spacing w:after="0"/>
              <w:jc w:val="center"/>
              <w:rPr>
                <w:sz w:val="24"/>
                <w:szCs w:val="24"/>
              </w:rPr>
            </w:pPr>
            <w:r>
              <w:rPr>
                <w:sz w:val="24"/>
                <w:szCs w:val="24"/>
              </w:rPr>
              <w:t>569,087</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Conferences and conventions</w:t>
            </w:r>
          </w:p>
        </w:tc>
        <w:tc>
          <w:tcPr>
            <w:tcW w:w="1440" w:type="dxa"/>
            <w:vAlign w:val="center"/>
          </w:tcPr>
          <w:p w:rsidR="00EA545B" w:rsidRPr="000259AD" w:rsidRDefault="001D1269" w:rsidP="00B40D61">
            <w:pPr>
              <w:pStyle w:val="NoSpacing"/>
              <w:spacing w:after="0"/>
              <w:jc w:val="center"/>
              <w:rPr>
                <w:sz w:val="24"/>
                <w:szCs w:val="24"/>
              </w:rPr>
            </w:pPr>
            <w:r>
              <w:rPr>
                <w:sz w:val="24"/>
                <w:szCs w:val="24"/>
              </w:rPr>
              <w:t>40,541</w:t>
            </w:r>
          </w:p>
        </w:tc>
        <w:tc>
          <w:tcPr>
            <w:tcW w:w="1800" w:type="dxa"/>
            <w:vAlign w:val="center"/>
          </w:tcPr>
          <w:p w:rsidR="00EA545B" w:rsidRPr="000259AD" w:rsidRDefault="00EA545B" w:rsidP="00B40D61">
            <w:pPr>
              <w:pStyle w:val="NoSpacing"/>
              <w:spacing w:after="0"/>
              <w:jc w:val="center"/>
              <w:rPr>
                <w:sz w:val="24"/>
                <w:szCs w:val="24"/>
              </w:rPr>
            </w:pPr>
            <w:r>
              <w:rPr>
                <w:sz w:val="24"/>
                <w:szCs w:val="24"/>
              </w:rPr>
              <w:t>2</w:t>
            </w:r>
            <w:r w:rsidR="001D1269">
              <w:rPr>
                <w:sz w:val="24"/>
                <w:szCs w:val="24"/>
              </w:rPr>
              <w:t>46,252</w:t>
            </w:r>
          </w:p>
        </w:tc>
        <w:tc>
          <w:tcPr>
            <w:tcW w:w="1440" w:type="dxa"/>
            <w:vAlign w:val="center"/>
          </w:tcPr>
          <w:p w:rsidR="00EA545B" w:rsidRPr="000259AD" w:rsidRDefault="001D1269" w:rsidP="00B40D61">
            <w:pPr>
              <w:pStyle w:val="NoSpacing"/>
              <w:spacing w:after="0"/>
              <w:jc w:val="center"/>
              <w:rPr>
                <w:sz w:val="24"/>
                <w:szCs w:val="24"/>
              </w:rPr>
            </w:pPr>
            <w:r>
              <w:rPr>
                <w:sz w:val="24"/>
                <w:szCs w:val="24"/>
              </w:rPr>
              <w:t>13,589</w:t>
            </w:r>
          </w:p>
        </w:tc>
        <w:tc>
          <w:tcPr>
            <w:tcW w:w="1440" w:type="dxa"/>
            <w:vAlign w:val="center"/>
          </w:tcPr>
          <w:p w:rsidR="00EA545B" w:rsidRPr="000259AD" w:rsidRDefault="001D1269" w:rsidP="00B40D61">
            <w:pPr>
              <w:pStyle w:val="NoSpacing"/>
              <w:spacing w:after="0"/>
              <w:jc w:val="center"/>
              <w:rPr>
                <w:sz w:val="24"/>
                <w:szCs w:val="24"/>
              </w:rPr>
            </w:pPr>
            <w:r>
              <w:rPr>
                <w:sz w:val="24"/>
                <w:szCs w:val="24"/>
              </w:rPr>
              <w:t>300,382</w:t>
            </w:r>
          </w:p>
        </w:tc>
        <w:tc>
          <w:tcPr>
            <w:tcW w:w="1655" w:type="dxa"/>
            <w:vAlign w:val="center"/>
          </w:tcPr>
          <w:p w:rsidR="00EA545B" w:rsidRPr="000259AD" w:rsidRDefault="001D1269" w:rsidP="00B40D61">
            <w:pPr>
              <w:pStyle w:val="NoSpacing"/>
              <w:spacing w:after="0"/>
              <w:jc w:val="center"/>
              <w:rPr>
                <w:sz w:val="24"/>
                <w:szCs w:val="24"/>
              </w:rPr>
            </w:pPr>
            <w:r>
              <w:rPr>
                <w:sz w:val="24"/>
                <w:szCs w:val="24"/>
              </w:rPr>
              <w:t>1,94</w:t>
            </w:r>
            <w:r w:rsidR="00EA545B">
              <w:rPr>
                <w:sz w:val="24"/>
                <w:szCs w:val="24"/>
              </w:rPr>
              <w:t>4</w:t>
            </w:r>
          </w:p>
        </w:tc>
        <w:tc>
          <w:tcPr>
            <w:tcW w:w="1530" w:type="dxa"/>
            <w:vAlign w:val="center"/>
          </w:tcPr>
          <w:p w:rsidR="00EA545B" w:rsidRPr="000259AD" w:rsidRDefault="001D1269" w:rsidP="00B40D61">
            <w:pPr>
              <w:pStyle w:val="NoSpacing"/>
              <w:spacing w:after="0"/>
              <w:jc w:val="center"/>
              <w:rPr>
                <w:sz w:val="24"/>
                <w:szCs w:val="24"/>
              </w:rPr>
            </w:pPr>
            <w:r>
              <w:rPr>
                <w:sz w:val="24"/>
                <w:szCs w:val="24"/>
              </w:rPr>
              <w:t>2,996</w:t>
            </w:r>
          </w:p>
        </w:tc>
        <w:tc>
          <w:tcPr>
            <w:tcW w:w="1530" w:type="dxa"/>
            <w:vAlign w:val="center"/>
          </w:tcPr>
          <w:p w:rsidR="00EA545B" w:rsidRPr="000259AD" w:rsidRDefault="001D1269" w:rsidP="00B40D61">
            <w:pPr>
              <w:pStyle w:val="NoSpacing"/>
              <w:spacing w:after="0"/>
              <w:jc w:val="center"/>
              <w:rPr>
                <w:sz w:val="24"/>
                <w:szCs w:val="24"/>
              </w:rPr>
            </w:pPr>
            <w:r>
              <w:rPr>
                <w:sz w:val="24"/>
                <w:szCs w:val="24"/>
              </w:rPr>
              <w:t>4,</w:t>
            </w:r>
            <w:r w:rsidR="00EA545B">
              <w:rPr>
                <w:sz w:val="24"/>
                <w:szCs w:val="24"/>
              </w:rPr>
              <w:t>9</w:t>
            </w:r>
            <w:r>
              <w:rPr>
                <w:sz w:val="24"/>
                <w:szCs w:val="24"/>
              </w:rPr>
              <w:t>40</w:t>
            </w:r>
          </w:p>
        </w:tc>
        <w:tc>
          <w:tcPr>
            <w:tcW w:w="1430" w:type="dxa"/>
            <w:vAlign w:val="center"/>
          </w:tcPr>
          <w:p w:rsidR="00EA545B" w:rsidRPr="000259AD" w:rsidRDefault="001D1269" w:rsidP="00B40D61">
            <w:pPr>
              <w:pStyle w:val="NoSpacing"/>
              <w:spacing w:after="0"/>
              <w:jc w:val="center"/>
              <w:rPr>
                <w:sz w:val="24"/>
                <w:szCs w:val="24"/>
              </w:rPr>
            </w:pPr>
            <w:r>
              <w:rPr>
                <w:sz w:val="24"/>
                <w:szCs w:val="24"/>
              </w:rPr>
              <w:t>305,322</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Professional fees</w:t>
            </w:r>
          </w:p>
        </w:tc>
        <w:tc>
          <w:tcPr>
            <w:tcW w:w="1440" w:type="dxa"/>
            <w:vAlign w:val="center"/>
          </w:tcPr>
          <w:p w:rsidR="00EA545B" w:rsidRPr="000259AD" w:rsidRDefault="001D1269" w:rsidP="00B40D61">
            <w:pPr>
              <w:pStyle w:val="NoSpacing"/>
              <w:spacing w:after="0"/>
              <w:jc w:val="center"/>
              <w:rPr>
                <w:sz w:val="24"/>
                <w:szCs w:val="24"/>
              </w:rPr>
            </w:pPr>
            <w:r>
              <w:rPr>
                <w:sz w:val="24"/>
                <w:szCs w:val="24"/>
              </w:rPr>
              <w:t>4</w:t>
            </w:r>
            <w:r w:rsidR="00EA545B">
              <w:rPr>
                <w:sz w:val="24"/>
                <w:szCs w:val="24"/>
              </w:rPr>
              <w:t>3</w:t>
            </w:r>
            <w:r>
              <w:rPr>
                <w:sz w:val="24"/>
                <w:szCs w:val="24"/>
              </w:rPr>
              <w:t>0,444</w:t>
            </w:r>
          </w:p>
        </w:tc>
        <w:tc>
          <w:tcPr>
            <w:tcW w:w="1800" w:type="dxa"/>
            <w:vAlign w:val="center"/>
          </w:tcPr>
          <w:p w:rsidR="00EA545B" w:rsidRPr="000259AD" w:rsidRDefault="001D1269" w:rsidP="00B40D61">
            <w:pPr>
              <w:pStyle w:val="NoSpacing"/>
              <w:spacing w:after="0"/>
              <w:jc w:val="center"/>
              <w:rPr>
                <w:sz w:val="24"/>
                <w:szCs w:val="24"/>
              </w:rPr>
            </w:pPr>
            <w:r>
              <w:rPr>
                <w:sz w:val="24"/>
                <w:szCs w:val="24"/>
              </w:rPr>
              <w:t>1,955,</w:t>
            </w:r>
            <w:r w:rsidR="00EA545B">
              <w:rPr>
                <w:sz w:val="24"/>
                <w:szCs w:val="24"/>
              </w:rPr>
              <w:t>3</w:t>
            </w:r>
            <w:r>
              <w:rPr>
                <w:sz w:val="24"/>
                <w:szCs w:val="24"/>
              </w:rPr>
              <w:t>78</w:t>
            </w:r>
          </w:p>
        </w:tc>
        <w:tc>
          <w:tcPr>
            <w:tcW w:w="1440" w:type="dxa"/>
            <w:vAlign w:val="center"/>
          </w:tcPr>
          <w:p w:rsidR="00EA545B" w:rsidRPr="000259AD" w:rsidRDefault="001D1269" w:rsidP="00B40D61">
            <w:pPr>
              <w:pStyle w:val="NoSpacing"/>
              <w:spacing w:after="0"/>
              <w:jc w:val="center"/>
              <w:rPr>
                <w:sz w:val="24"/>
                <w:szCs w:val="24"/>
              </w:rPr>
            </w:pPr>
            <w:r>
              <w:rPr>
                <w:sz w:val="24"/>
                <w:szCs w:val="24"/>
              </w:rPr>
              <w:t>435,811</w:t>
            </w:r>
          </w:p>
        </w:tc>
        <w:tc>
          <w:tcPr>
            <w:tcW w:w="1440" w:type="dxa"/>
            <w:vAlign w:val="center"/>
          </w:tcPr>
          <w:p w:rsidR="00EA545B" w:rsidRPr="000259AD" w:rsidRDefault="001D1269" w:rsidP="00B40D61">
            <w:pPr>
              <w:pStyle w:val="NoSpacing"/>
              <w:spacing w:after="0"/>
              <w:jc w:val="center"/>
              <w:rPr>
                <w:sz w:val="24"/>
                <w:szCs w:val="24"/>
              </w:rPr>
            </w:pPr>
            <w:r>
              <w:rPr>
                <w:sz w:val="24"/>
                <w:szCs w:val="24"/>
              </w:rPr>
              <w:t>2,82</w:t>
            </w:r>
            <w:r w:rsidR="00EA545B">
              <w:rPr>
                <w:sz w:val="24"/>
                <w:szCs w:val="24"/>
              </w:rPr>
              <w:t>1,</w:t>
            </w:r>
            <w:r>
              <w:rPr>
                <w:sz w:val="24"/>
                <w:szCs w:val="24"/>
              </w:rPr>
              <w:t>633</w:t>
            </w:r>
          </w:p>
        </w:tc>
        <w:tc>
          <w:tcPr>
            <w:tcW w:w="1655" w:type="dxa"/>
            <w:vAlign w:val="center"/>
          </w:tcPr>
          <w:p w:rsidR="00EA545B" w:rsidRPr="000259AD" w:rsidRDefault="00EA545B" w:rsidP="00B40D61">
            <w:pPr>
              <w:pStyle w:val="NoSpacing"/>
              <w:spacing w:after="0"/>
              <w:jc w:val="center"/>
              <w:rPr>
                <w:sz w:val="24"/>
                <w:szCs w:val="24"/>
              </w:rPr>
            </w:pPr>
            <w:r>
              <w:rPr>
                <w:sz w:val="24"/>
                <w:szCs w:val="24"/>
              </w:rPr>
              <w:t>9</w:t>
            </w:r>
            <w:r w:rsidR="001D1269">
              <w:rPr>
                <w:sz w:val="24"/>
                <w:szCs w:val="24"/>
              </w:rPr>
              <w:t>0,578</w:t>
            </w:r>
          </w:p>
        </w:tc>
        <w:tc>
          <w:tcPr>
            <w:tcW w:w="1530" w:type="dxa"/>
            <w:vAlign w:val="center"/>
          </w:tcPr>
          <w:p w:rsidR="00EA545B" w:rsidRPr="000259AD" w:rsidRDefault="001D1269" w:rsidP="00B40D61">
            <w:pPr>
              <w:pStyle w:val="NoSpacing"/>
              <w:spacing w:after="0"/>
              <w:jc w:val="center"/>
              <w:rPr>
                <w:sz w:val="24"/>
                <w:szCs w:val="24"/>
              </w:rPr>
            </w:pPr>
            <w:r>
              <w:rPr>
                <w:sz w:val="24"/>
                <w:szCs w:val="24"/>
              </w:rPr>
              <w:t>14,883</w:t>
            </w:r>
          </w:p>
        </w:tc>
        <w:tc>
          <w:tcPr>
            <w:tcW w:w="1530" w:type="dxa"/>
            <w:vAlign w:val="center"/>
          </w:tcPr>
          <w:p w:rsidR="00EA545B" w:rsidRPr="000259AD" w:rsidRDefault="001D1269" w:rsidP="00B40D61">
            <w:pPr>
              <w:pStyle w:val="NoSpacing"/>
              <w:spacing w:after="0"/>
              <w:jc w:val="center"/>
              <w:rPr>
                <w:sz w:val="24"/>
                <w:szCs w:val="24"/>
              </w:rPr>
            </w:pPr>
            <w:r>
              <w:rPr>
                <w:sz w:val="24"/>
                <w:szCs w:val="24"/>
              </w:rPr>
              <w:t>105,461</w:t>
            </w:r>
          </w:p>
        </w:tc>
        <w:tc>
          <w:tcPr>
            <w:tcW w:w="1430" w:type="dxa"/>
            <w:vAlign w:val="center"/>
          </w:tcPr>
          <w:p w:rsidR="00EA545B" w:rsidRPr="000259AD" w:rsidRDefault="001D1269" w:rsidP="00B40D61">
            <w:pPr>
              <w:pStyle w:val="NoSpacing"/>
              <w:spacing w:after="0"/>
              <w:jc w:val="center"/>
              <w:rPr>
                <w:sz w:val="24"/>
                <w:szCs w:val="24"/>
              </w:rPr>
            </w:pPr>
            <w:r>
              <w:rPr>
                <w:sz w:val="24"/>
                <w:szCs w:val="24"/>
              </w:rPr>
              <w:t>2,</w:t>
            </w:r>
            <w:r w:rsidR="00EA545B">
              <w:rPr>
                <w:sz w:val="24"/>
                <w:szCs w:val="24"/>
              </w:rPr>
              <w:t>9</w:t>
            </w:r>
            <w:r>
              <w:rPr>
                <w:sz w:val="24"/>
                <w:szCs w:val="24"/>
              </w:rPr>
              <w:t>27,09</w:t>
            </w:r>
            <w:r w:rsidR="00EA545B">
              <w:rPr>
                <w:sz w:val="24"/>
                <w:szCs w:val="24"/>
              </w:rPr>
              <w:t>4</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Telephone</w:t>
            </w:r>
          </w:p>
        </w:tc>
        <w:tc>
          <w:tcPr>
            <w:tcW w:w="1440" w:type="dxa"/>
            <w:vAlign w:val="center"/>
          </w:tcPr>
          <w:p w:rsidR="00EA545B" w:rsidRPr="000259AD" w:rsidRDefault="001D1269" w:rsidP="00B40D61">
            <w:pPr>
              <w:pStyle w:val="NoSpacing"/>
              <w:spacing w:after="0"/>
              <w:jc w:val="center"/>
              <w:rPr>
                <w:sz w:val="24"/>
                <w:szCs w:val="24"/>
              </w:rPr>
            </w:pPr>
            <w:r>
              <w:rPr>
                <w:sz w:val="24"/>
                <w:szCs w:val="24"/>
              </w:rPr>
              <w:t>7,3</w:t>
            </w:r>
            <w:r w:rsidR="00EA545B">
              <w:rPr>
                <w:sz w:val="24"/>
                <w:szCs w:val="24"/>
              </w:rPr>
              <w:t>80</w:t>
            </w:r>
          </w:p>
        </w:tc>
        <w:tc>
          <w:tcPr>
            <w:tcW w:w="1800" w:type="dxa"/>
            <w:vAlign w:val="center"/>
          </w:tcPr>
          <w:p w:rsidR="00EA545B" w:rsidRPr="000259AD" w:rsidRDefault="001D1269" w:rsidP="00B40D61">
            <w:pPr>
              <w:pStyle w:val="NoSpacing"/>
              <w:spacing w:after="0"/>
              <w:jc w:val="center"/>
              <w:rPr>
                <w:sz w:val="24"/>
                <w:szCs w:val="24"/>
              </w:rPr>
            </w:pPr>
            <w:r>
              <w:rPr>
                <w:sz w:val="24"/>
                <w:szCs w:val="24"/>
              </w:rPr>
              <w:t>10,</w:t>
            </w:r>
            <w:r w:rsidR="00EA545B">
              <w:rPr>
                <w:sz w:val="24"/>
                <w:szCs w:val="24"/>
              </w:rPr>
              <w:t>6</w:t>
            </w:r>
            <w:r>
              <w:rPr>
                <w:sz w:val="24"/>
                <w:szCs w:val="24"/>
              </w:rPr>
              <w:t>38</w:t>
            </w:r>
          </w:p>
        </w:tc>
        <w:tc>
          <w:tcPr>
            <w:tcW w:w="1440" w:type="dxa"/>
            <w:vAlign w:val="center"/>
          </w:tcPr>
          <w:p w:rsidR="00EA545B" w:rsidRPr="000259AD" w:rsidRDefault="001D1269" w:rsidP="00B40D61">
            <w:pPr>
              <w:pStyle w:val="NoSpacing"/>
              <w:spacing w:after="0"/>
              <w:jc w:val="center"/>
              <w:rPr>
                <w:sz w:val="24"/>
                <w:szCs w:val="24"/>
              </w:rPr>
            </w:pPr>
            <w:r>
              <w:rPr>
                <w:sz w:val="24"/>
                <w:szCs w:val="24"/>
              </w:rPr>
              <w:t>9,046</w:t>
            </w:r>
          </w:p>
        </w:tc>
        <w:tc>
          <w:tcPr>
            <w:tcW w:w="1440" w:type="dxa"/>
            <w:vAlign w:val="center"/>
          </w:tcPr>
          <w:p w:rsidR="00EA545B" w:rsidRPr="000259AD" w:rsidRDefault="001D1269" w:rsidP="00B40D61">
            <w:pPr>
              <w:pStyle w:val="NoSpacing"/>
              <w:spacing w:after="0"/>
              <w:jc w:val="center"/>
              <w:rPr>
                <w:sz w:val="24"/>
                <w:szCs w:val="24"/>
              </w:rPr>
            </w:pPr>
            <w:r>
              <w:rPr>
                <w:sz w:val="24"/>
                <w:szCs w:val="24"/>
              </w:rPr>
              <w:t>27</w:t>
            </w:r>
            <w:r w:rsidR="00EA545B">
              <w:rPr>
                <w:sz w:val="24"/>
                <w:szCs w:val="24"/>
              </w:rPr>
              <w:t>,</w:t>
            </w:r>
            <w:r>
              <w:rPr>
                <w:sz w:val="24"/>
                <w:szCs w:val="24"/>
              </w:rPr>
              <w:t>064</w:t>
            </w:r>
          </w:p>
        </w:tc>
        <w:tc>
          <w:tcPr>
            <w:tcW w:w="1655" w:type="dxa"/>
            <w:vAlign w:val="center"/>
          </w:tcPr>
          <w:p w:rsidR="00EA545B" w:rsidRPr="000259AD" w:rsidRDefault="001D1269" w:rsidP="00B40D61">
            <w:pPr>
              <w:pStyle w:val="NoSpacing"/>
              <w:spacing w:after="0"/>
              <w:jc w:val="center"/>
              <w:rPr>
                <w:sz w:val="24"/>
                <w:szCs w:val="24"/>
              </w:rPr>
            </w:pPr>
            <w:r>
              <w:rPr>
                <w:sz w:val="24"/>
                <w:szCs w:val="24"/>
              </w:rPr>
              <w:t>2,061</w:t>
            </w:r>
          </w:p>
        </w:tc>
        <w:tc>
          <w:tcPr>
            <w:tcW w:w="1530" w:type="dxa"/>
            <w:vAlign w:val="center"/>
          </w:tcPr>
          <w:p w:rsidR="00EA545B" w:rsidRPr="000259AD" w:rsidRDefault="001D1269" w:rsidP="00B40D61">
            <w:pPr>
              <w:pStyle w:val="NoSpacing"/>
              <w:spacing w:after="0"/>
              <w:jc w:val="center"/>
              <w:rPr>
                <w:sz w:val="24"/>
                <w:szCs w:val="24"/>
              </w:rPr>
            </w:pPr>
            <w:r>
              <w:rPr>
                <w:sz w:val="24"/>
                <w:szCs w:val="24"/>
              </w:rPr>
              <w:t>85</w:t>
            </w:r>
          </w:p>
        </w:tc>
        <w:tc>
          <w:tcPr>
            <w:tcW w:w="1530" w:type="dxa"/>
            <w:vAlign w:val="center"/>
          </w:tcPr>
          <w:p w:rsidR="00EA545B" w:rsidRPr="000259AD" w:rsidRDefault="001D1269" w:rsidP="00B40D61">
            <w:pPr>
              <w:pStyle w:val="NoSpacing"/>
              <w:spacing w:after="0"/>
              <w:jc w:val="center"/>
              <w:rPr>
                <w:sz w:val="24"/>
                <w:szCs w:val="24"/>
              </w:rPr>
            </w:pPr>
            <w:r>
              <w:rPr>
                <w:sz w:val="24"/>
                <w:szCs w:val="24"/>
              </w:rPr>
              <w:t>2,14</w:t>
            </w:r>
            <w:r w:rsidR="00EA545B">
              <w:rPr>
                <w:sz w:val="24"/>
                <w:szCs w:val="24"/>
              </w:rPr>
              <w:t>6</w:t>
            </w:r>
          </w:p>
        </w:tc>
        <w:tc>
          <w:tcPr>
            <w:tcW w:w="1430" w:type="dxa"/>
            <w:vAlign w:val="center"/>
          </w:tcPr>
          <w:p w:rsidR="00EA545B" w:rsidRPr="000259AD" w:rsidRDefault="001D1269" w:rsidP="00B40D61">
            <w:pPr>
              <w:pStyle w:val="NoSpacing"/>
              <w:spacing w:after="0"/>
              <w:jc w:val="center"/>
              <w:rPr>
                <w:sz w:val="24"/>
                <w:szCs w:val="24"/>
              </w:rPr>
            </w:pPr>
            <w:r>
              <w:rPr>
                <w:sz w:val="24"/>
                <w:szCs w:val="24"/>
              </w:rPr>
              <w:t>29,210</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Pr>
                <w:sz w:val="24"/>
                <w:szCs w:val="24"/>
              </w:rPr>
              <w:t>Occupancy</w:t>
            </w:r>
          </w:p>
        </w:tc>
        <w:tc>
          <w:tcPr>
            <w:tcW w:w="1440" w:type="dxa"/>
            <w:vAlign w:val="center"/>
          </w:tcPr>
          <w:p w:rsidR="00EA545B" w:rsidRPr="000259AD" w:rsidRDefault="001D1269" w:rsidP="00B40D61">
            <w:pPr>
              <w:pStyle w:val="NoSpacing"/>
              <w:spacing w:after="0"/>
              <w:jc w:val="center"/>
              <w:rPr>
                <w:sz w:val="24"/>
                <w:szCs w:val="24"/>
              </w:rPr>
            </w:pPr>
            <w:r>
              <w:rPr>
                <w:sz w:val="24"/>
                <w:szCs w:val="24"/>
              </w:rPr>
              <w:t>174,985</w:t>
            </w:r>
          </w:p>
        </w:tc>
        <w:tc>
          <w:tcPr>
            <w:tcW w:w="1800" w:type="dxa"/>
            <w:vAlign w:val="center"/>
          </w:tcPr>
          <w:p w:rsidR="00EA545B" w:rsidRPr="000259AD" w:rsidRDefault="001D1269" w:rsidP="00B40D61">
            <w:pPr>
              <w:pStyle w:val="NoSpacing"/>
              <w:spacing w:after="0"/>
              <w:jc w:val="center"/>
              <w:rPr>
                <w:sz w:val="24"/>
                <w:szCs w:val="24"/>
              </w:rPr>
            </w:pPr>
            <w:r>
              <w:rPr>
                <w:sz w:val="24"/>
                <w:szCs w:val="24"/>
              </w:rPr>
              <w:t>128,351</w:t>
            </w:r>
          </w:p>
        </w:tc>
        <w:tc>
          <w:tcPr>
            <w:tcW w:w="1440" w:type="dxa"/>
            <w:vAlign w:val="center"/>
          </w:tcPr>
          <w:p w:rsidR="00EA545B" w:rsidRPr="000259AD" w:rsidRDefault="001D1269" w:rsidP="00B40D61">
            <w:pPr>
              <w:pStyle w:val="NoSpacing"/>
              <w:spacing w:after="0"/>
              <w:jc w:val="center"/>
              <w:rPr>
                <w:sz w:val="24"/>
                <w:szCs w:val="24"/>
              </w:rPr>
            </w:pPr>
            <w:r>
              <w:rPr>
                <w:sz w:val="24"/>
                <w:szCs w:val="24"/>
              </w:rPr>
              <w:t>163,154</w:t>
            </w:r>
          </w:p>
        </w:tc>
        <w:tc>
          <w:tcPr>
            <w:tcW w:w="1440" w:type="dxa"/>
            <w:vAlign w:val="center"/>
          </w:tcPr>
          <w:p w:rsidR="00EA545B" w:rsidRPr="000259AD" w:rsidRDefault="001D1269" w:rsidP="00B40D61">
            <w:pPr>
              <w:pStyle w:val="NoSpacing"/>
              <w:spacing w:after="0"/>
              <w:jc w:val="center"/>
              <w:rPr>
                <w:sz w:val="24"/>
                <w:szCs w:val="24"/>
              </w:rPr>
            </w:pPr>
            <w:r>
              <w:rPr>
                <w:sz w:val="24"/>
                <w:szCs w:val="24"/>
              </w:rPr>
              <w:t>466,49</w:t>
            </w:r>
            <w:r w:rsidR="00EA545B">
              <w:rPr>
                <w:sz w:val="24"/>
                <w:szCs w:val="24"/>
              </w:rPr>
              <w:t>0</w:t>
            </w:r>
          </w:p>
        </w:tc>
        <w:tc>
          <w:tcPr>
            <w:tcW w:w="1655" w:type="dxa"/>
            <w:vAlign w:val="center"/>
          </w:tcPr>
          <w:p w:rsidR="00EA545B" w:rsidRPr="000259AD" w:rsidRDefault="001D1269" w:rsidP="00B40D61">
            <w:pPr>
              <w:pStyle w:val="NoSpacing"/>
              <w:spacing w:after="0"/>
              <w:jc w:val="center"/>
              <w:rPr>
                <w:sz w:val="24"/>
                <w:szCs w:val="24"/>
              </w:rPr>
            </w:pPr>
            <w:r>
              <w:rPr>
                <w:sz w:val="24"/>
                <w:szCs w:val="24"/>
              </w:rPr>
              <w:t>11,442</w:t>
            </w:r>
          </w:p>
        </w:tc>
        <w:tc>
          <w:tcPr>
            <w:tcW w:w="1530" w:type="dxa"/>
            <w:vAlign w:val="center"/>
          </w:tcPr>
          <w:p w:rsidR="00EA545B" w:rsidRPr="000259AD" w:rsidRDefault="001D1269" w:rsidP="00B40D61">
            <w:pPr>
              <w:pStyle w:val="NoSpacing"/>
              <w:spacing w:after="0"/>
              <w:jc w:val="center"/>
              <w:rPr>
                <w:sz w:val="24"/>
                <w:szCs w:val="24"/>
              </w:rPr>
            </w:pPr>
            <w:r>
              <w:rPr>
                <w:sz w:val="24"/>
                <w:szCs w:val="24"/>
              </w:rPr>
              <w:t>4,815</w:t>
            </w:r>
          </w:p>
        </w:tc>
        <w:tc>
          <w:tcPr>
            <w:tcW w:w="1530" w:type="dxa"/>
            <w:vAlign w:val="center"/>
          </w:tcPr>
          <w:p w:rsidR="00EA545B" w:rsidRPr="000259AD" w:rsidRDefault="001D1269" w:rsidP="00B40D61">
            <w:pPr>
              <w:pStyle w:val="NoSpacing"/>
              <w:spacing w:after="0"/>
              <w:jc w:val="center"/>
              <w:rPr>
                <w:sz w:val="24"/>
                <w:szCs w:val="24"/>
              </w:rPr>
            </w:pPr>
            <w:r>
              <w:rPr>
                <w:sz w:val="24"/>
                <w:szCs w:val="24"/>
              </w:rPr>
              <w:t>16,257</w:t>
            </w:r>
          </w:p>
        </w:tc>
        <w:tc>
          <w:tcPr>
            <w:tcW w:w="1430" w:type="dxa"/>
            <w:vAlign w:val="center"/>
          </w:tcPr>
          <w:p w:rsidR="00EA545B" w:rsidRPr="000259AD" w:rsidRDefault="001D1269" w:rsidP="00B40D61">
            <w:pPr>
              <w:pStyle w:val="NoSpacing"/>
              <w:spacing w:after="0"/>
              <w:jc w:val="center"/>
              <w:rPr>
                <w:sz w:val="24"/>
                <w:szCs w:val="24"/>
              </w:rPr>
            </w:pPr>
            <w:r>
              <w:rPr>
                <w:sz w:val="24"/>
                <w:szCs w:val="24"/>
              </w:rPr>
              <w:t>4</w:t>
            </w:r>
            <w:r w:rsidR="00EA545B">
              <w:rPr>
                <w:sz w:val="24"/>
                <w:szCs w:val="24"/>
              </w:rPr>
              <w:t>8</w:t>
            </w:r>
            <w:r>
              <w:rPr>
                <w:sz w:val="24"/>
                <w:szCs w:val="24"/>
              </w:rPr>
              <w:t>2,747</w:t>
            </w:r>
          </w:p>
        </w:tc>
      </w:tr>
      <w:tr w:rsidR="00EA545B" w:rsidRPr="0038283C" w:rsidTr="00B40D61">
        <w:trPr>
          <w:cantSplit/>
          <w:trHeight w:val="413"/>
          <w:jc w:val="center"/>
        </w:trPr>
        <w:tc>
          <w:tcPr>
            <w:tcW w:w="2905" w:type="dxa"/>
            <w:vAlign w:val="center"/>
          </w:tcPr>
          <w:p w:rsidR="00EA545B" w:rsidRPr="000259AD" w:rsidRDefault="00EA545B" w:rsidP="00B40D61">
            <w:pPr>
              <w:pStyle w:val="NoSpacing"/>
              <w:spacing w:after="0"/>
              <w:rPr>
                <w:sz w:val="24"/>
                <w:szCs w:val="24"/>
              </w:rPr>
            </w:pPr>
            <w:r>
              <w:rPr>
                <w:sz w:val="24"/>
                <w:szCs w:val="24"/>
              </w:rPr>
              <w:t>Donated media</w:t>
            </w:r>
          </w:p>
        </w:tc>
        <w:tc>
          <w:tcPr>
            <w:tcW w:w="1440" w:type="dxa"/>
            <w:vAlign w:val="center"/>
          </w:tcPr>
          <w:p w:rsidR="00EA545B" w:rsidRPr="000259AD" w:rsidRDefault="001D1269" w:rsidP="00B40D61">
            <w:pPr>
              <w:pStyle w:val="NoSpacing"/>
              <w:spacing w:after="0"/>
              <w:jc w:val="center"/>
              <w:rPr>
                <w:sz w:val="24"/>
                <w:szCs w:val="24"/>
              </w:rPr>
            </w:pPr>
            <w:r>
              <w:rPr>
                <w:sz w:val="24"/>
                <w:szCs w:val="24"/>
              </w:rPr>
              <w:t>1,</w:t>
            </w:r>
            <w:r w:rsidR="00EA545B">
              <w:rPr>
                <w:sz w:val="24"/>
                <w:szCs w:val="24"/>
              </w:rPr>
              <w:t>3</w:t>
            </w:r>
            <w:r>
              <w:rPr>
                <w:sz w:val="24"/>
                <w:szCs w:val="24"/>
              </w:rPr>
              <w:t>38</w:t>
            </w:r>
            <w:r w:rsidR="00EA545B">
              <w:rPr>
                <w:sz w:val="24"/>
                <w:szCs w:val="24"/>
              </w:rPr>
              <w:t>,</w:t>
            </w:r>
            <w:r>
              <w:rPr>
                <w:sz w:val="24"/>
                <w:szCs w:val="24"/>
              </w:rPr>
              <w:t>063</w:t>
            </w:r>
          </w:p>
        </w:tc>
        <w:tc>
          <w:tcPr>
            <w:tcW w:w="180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4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40" w:type="dxa"/>
            <w:vAlign w:val="center"/>
          </w:tcPr>
          <w:p w:rsidR="00EA545B" w:rsidRPr="000259AD" w:rsidRDefault="001D1269" w:rsidP="00B40D61">
            <w:pPr>
              <w:pStyle w:val="NoSpacing"/>
              <w:spacing w:after="0"/>
              <w:jc w:val="center"/>
              <w:rPr>
                <w:sz w:val="24"/>
                <w:szCs w:val="24"/>
              </w:rPr>
            </w:pPr>
            <w:r>
              <w:rPr>
                <w:sz w:val="24"/>
                <w:szCs w:val="24"/>
              </w:rPr>
              <w:t>1,</w:t>
            </w:r>
            <w:r w:rsidR="00EA545B">
              <w:rPr>
                <w:sz w:val="24"/>
                <w:szCs w:val="24"/>
              </w:rPr>
              <w:t>3</w:t>
            </w:r>
            <w:r>
              <w:rPr>
                <w:sz w:val="24"/>
                <w:szCs w:val="24"/>
              </w:rPr>
              <w:t>38,0</w:t>
            </w:r>
            <w:r w:rsidR="00EA545B">
              <w:rPr>
                <w:sz w:val="24"/>
                <w:szCs w:val="24"/>
              </w:rPr>
              <w:t>6</w:t>
            </w:r>
            <w:r>
              <w:rPr>
                <w:sz w:val="24"/>
                <w:szCs w:val="24"/>
              </w:rPr>
              <w:t>3</w:t>
            </w:r>
          </w:p>
        </w:tc>
        <w:tc>
          <w:tcPr>
            <w:tcW w:w="1655"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30" w:type="dxa"/>
            <w:vAlign w:val="center"/>
          </w:tcPr>
          <w:p w:rsidR="00EA545B" w:rsidRPr="000259AD" w:rsidRDefault="001D1269" w:rsidP="00B40D61">
            <w:pPr>
              <w:pStyle w:val="NoSpacing"/>
              <w:spacing w:after="0"/>
              <w:jc w:val="center"/>
              <w:rPr>
                <w:sz w:val="24"/>
                <w:szCs w:val="24"/>
              </w:rPr>
            </w:pPr>
            <w:r>
              <w:rPr>
                <w:sz w:val="24"/>
                <w:szCs w:val="24"/>
              </w:rPr>
              <w:t>1,3</w:t>
            </w:r>
            <w:r w:rsidR="00EA545B">
              <w:rPr>
                <w:sz w:val="24"/>
                <w:szCs w:val="24"/>
              </w:rPr>
              <w:t>3</w:t>
            </w:r>
            <w:r>
              <w:rPr>
                <w:sz w:val="24"/>
                <w:szCs w:val="24"/>
              </w:rPr>
              <w:t>8,0</w:t>
            </w:r>
            <w:r w:rsidR="00EA545B">
              <w:rPr>
                <w:sz w:val="24"/>
                <w:szCs w:val="24"/>
              </w:rPr>
              <w:t>6</w:t>
            </w:r>
            <w:r>
              <w:rPr>
                <w:sz w:val="24"/>
                <w:szCs w:val="24"/>
              </w:rPr>
              <w:t>3</w:t>
            </w:r>
          </w:p>
        </w:tc>
      </w:tr>
      <w:tr w:rsidR="00EA545B" w:rsidRPr="0038283C" w:rsidTr="00B40D61">
        <w:trPr>
          <w:cantSplit/>
          <w:trHeight w:val="395"/>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Awards and grants</w:t>
            </w:r>
          </w:p>
        </w:tc>
        <w:tc>
          <w:tcPr>
            <w:tcW w:w="1440" w:type="dxa"/>
            <w:vAlign w:val="center"/>
          </w:tcPr>
          <w:p w:rsidR="00EA545B" w:rsidRPr="000259AD" w:rsidRDefault="00EA545B" w:rsidP="00B40D61">
            <w:pPr>
              <w:pStyle w:val="NoSpacing"/>
              <w:spacing w:after="0"/>
              <w:jc w:val="center"/>
              <w:rPr>
                <w:sz w:val="24"/>
                <w:szCs w:val="24"/>
              </w:rPr>
            </w:pPr>
            <w:r>
              <w:rPr>
                <w:sz w:val="24"/>
                <w:szCs w:val="24"/>
              </w:rPr>
              <w:t>3</w:t>
            </w:r>
            <w:r w:rsidR="001D1269">
              <w:rPr>
                <w:sz w:val="24"/>
                <w:szCs w:val="24"/>
              </w:rPr>
              <w:t>0,</w:t>
            </w:r>
            <w:r>
              <w:rPr>
                <w:sz w:val="24"/>
                <w:szCs w:val="24"/>
              </w:rPr>
              <w:t>5</w:t>
            </w:r>
            <w:r w:rsidR="001D1269">
              <w:rPr>
                <w:sz w:val="24"/>
                <w:szCs w:val="24"/>
              </w:rPr>
              <w:t>0</w:t>
            </w:r>
            <w:r>
              <w:rPr>
                <w:sz w:val="24"/>
                <w:szCs w:val="24"/>
              </w:rPr>
              <w:t>0</w:t>
            </w:r>
          </w:p>
        </w:tc>
        <w:tc>
          <w:tcPr>
            <w:tcW w:w="1800" w:type="dxa"/>
            <w:vAlign w:val="center"/>
          </w:tcPr>
          <w:p w:rsidR="00EA545B" w:rsidRPr="000259AD" w:rsidRDefault="001D1269" w:rsidP="00B40D61">
            <w:pPr>
              <w:pStyle w:val="NoSpacing"/>
              <w:spacing w:after="0"/>
              <w:jc w:val="center"/>
              <w:rPr>
                <w:sz w:val="24"/>
                <w:szCs w:val="24"/>
              </w:rPr>
            </w:pPr>
            <w:r>
              <w:rPr>
                <w:sz w:val="24"/>
                <w:szCs w:val="24"/>
              </w:rPr>
              <w:t>248,60</w:t>
            </w:r>
            <w:r w:rsidR="00EA545B">
              <w:rPr>
                <w:sz w:val="24"/>
                <w:szCs w:val="24"/>
              </w:rPr>
              <w:t>9</w:t>
            </w:r>
          </w:p>
        </w:tc>
        <w:tc>
          <w:tcPr>
            <w:tcW w:w="1440" w:type="dxa"/>
            <w:vAlign w:val="center"/>
          </w:tcPr>
          <w:p w:rsidR="00EA545B" w:rsidRPr="000259AD" w:rsidRDefault="001D1269" w:rsidP="00B40D61">
            <w:pPr>
              <w:pStyle w:val="NoSpacing"/>
              <w:spacing w:after="0"/>
              <w:jc w:val="center"/>
              <w:rPr>
                <w:sz w:val="24"/>
                <w:szCs w:val="24"/>
              </w:rPr>
            </w:pPr>
            <w:r>
              <w:rPr>
                <w:sz w:val="24"/>
                <w:szCs w:val="24"/>
              </w:rPr>
              <w:t>33</w:t>
            </w:r>
            <w:r w:rsidR="00EA545B">
              <w:rPr>
                <w:sz w:val="24"/>
                <w:szCs w:val="24"/>
              </w:rPr>
              <w:t>7,</w:t>
            </w:r>
            <w:r>
              <w:rPr>
                <w:sz w:val="24"/>
                <w:szCs w:val="24"/>
              </w:rPr>
              <w:t>75</w:t>
            </w:r>
            <w:r w:rsidR="00EA545B">
              <w:rPr>
                <w:sz w:val="24"/>
                <w:szCs w:val="24"/>
              </w:rPr>
              <w:t>0</w:t>
            </w:r>
          </w:p>
        </w:tc>
        <w:tc>
          <w:tcPr>
            <w:tcW w:w="1440" w:type="dxa"/>
            <w:vAlign w:val="center"/>
          </w:tcPr>
          <w:p w:rsidR="00EA545B" w:rsidRPr="000259AD" w:rsidRDefault="001D1269" w:rsidP="00B40D61">
            <w:pPr>
              <w:pStyle w:val="NoSpacing"/>
              <w:spacing w:after="0"/>
              <w:jc w:val="center"/>
              <w:rPr>
                <w:sz w:val="24"/>
                <w:szCs w:val="24"/>
              </w:rPr>
            </w:pPr>
            <w:r>
              <w:rPr>
                <w:sz w:val="24"/>
                <w:szCs w:val="24"/>
              </w:rPr>
              <w:t>616,85</w:t>
            </w:r>
            <w:r w:rsidR="00EA545B">
              <w:rPr>
                <w:sz w:val="24"/>
                <w:szCs w:val="24"/>
              </w:rPr>
              <w:t>9</w:t>
            </w:r>
          </w:p>
        </w:tc>
        <w:tc>
          <w:tcPr>
            <w:tcW w:w="1655"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30" w:type="dxa"/>
            <w:vAlign w:val="center"/>
          </w:tcPr>
          <w:p w:rsidR="00EA545B" w:rsidRPr="000259AD" w:rsidRDefault="001D1269" w:rsidP="00B40D61">
            <w:pPr>
              <w:pStyle w:val="NoSpacing"/>
              <w:spacing w:after="0"/>
              <w:jc w:val="center"/>
              <w:rPr>
                <w:sz w:val="24"/>
                <w:szCs w:val="24"/>
              </w:rPr>
            </w:pPr>
            <w:r>
              <w:rPr>
                <w:sz w:val="24"/>
                <w:szCs w:val="24"/>
              </w:rPr>
              <w:t>616,85</w:t>
            </w:r>
            <w:r w:rsidR="00EA545B">
              <w:rPr>
                <w:sz w:val="24"/>
                <w:szCs w:val="24"/>
              </w:rPr>
              <w:t>9</w:t>
            </w:r>
          </w:p>
        </w:tc>
      </w:tr>
      <w:tr w:rsidR="00EA545B" w:rsidRPr="0038283C" w:rsidTr="00B40D61">
        <w:trPr>
          <w:cantSplit/>
          <w:trHeight w:val="377"/>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lastRenderedPageBreak/>
              <w:t>Information technology</w:t>
            </w:r>
          </w:p>
        </w:tc>
        <w:tc>
          <w:tcPr>
            <w:tcW w:w="1440" w:type="dxa"/>
            <w:vAlign w:val="center"/>
          </w:tcPr>
          <w:p w:rsidR="00EA545B" w:rsidRPr="000259AD" w:rsidRDefault="001D1269" w:rsidP="00B40D61">
            <w:pPr>
              <w:pStyle w:val="NoSpacing"/>
              <w:spacing w:after="0"/>
              <w:jc w:val="center"/>
              <w:rPr>
                <w:sz w:val="24"/>
                <w:szCs w:val="24"/>
              </w:rPr>
            </w:pPr>
            <w:r>
              <w:rPr>
                <w:sz w:val="24"/>
                <w:szCs w:val="24"/>
              </w:rPr>
              <w:t>74,784</w:t>
            </w:r>
          </w:p>
        </w:tc>
        <w:tc>
          <w:tcPr>
            <w:tcW w:w="1800" w:type="dxa"/>
            <w:vAlign w:val="center"/>
          </w:tcPr>
          <w:p w:rsidR="00EA545B" w:rsidRPr="000259AD" w:rsidRDefault="00347FD7" w:rsidP="00B40D61">
            <w:pPr>
              <w:pStyle w:val="NoSpacing"/>
              <w:spacing w:after="0"/>
              <w:jc w:val="center"/>
              <w:rPr>
                <w:sz w:val="24"/>
                <w:szCs w:val="24"/>
              </w:rPr>
            </w:pPr>
            <w:r>
              <w:rPr>
                <w:sz w:val="24"/>
                <w:szCs w:val="24"/>
              </w:rPr>
              <w:t>65,750</w:t>
            </w:r>
          </w:p>
        </w:tc>
        <w:tc>
          <w:tcPr>
            <w:tcW w:w="1440" w:type="dxa"/>
            <w:vAlign w:val="center"/>
          </w:tcPr>
          <w:p w:rsidR="00EA545B" w:rsidRPr="000259AD" w:rsidRDefault="00347FD7" w:rsidP="00B40D61">
            <w:pPr>
              <w:pStyle w:val="NoSpacing"/>
              <w:spacing w:after="0"/>
              <w:jc w:val="center"/>
              <w:rPr>
                <w:sz w:val="24"/>
                <w:szCs w:val="24"/>
              </w:rPr>
            </w:pPr>
            <w:r>
              <w:rPr>
                <w:sz w:val="24"/>
                <w:szCs w:val="24"/>
              </w:rPr>
              <w:t>8</w:t>
            </w:r>
            <w:r w:rsidR="00EA545B">
              <w:rPr>
                <w:sz w:val="24"/>
                <w:szCs w:val="24"/>
              </w:rPr>
              <w:t>9</w:t>
            </w:r>
            <w:r>
              <w:rPr>
                <w:sz w:val="24"/>
                <w:szCs w:val="24"/>
              </w:rPr>
              <w:t>4,825</w:t>
            </w:r>
          </w:p>
        </w:tc>
        <w:tc>
          <w:tcPr>
            <w:tcW w:w="1440" w:type="dxa"/>
            <w:vAlign w:val="center"/>
          </w:tcPr>
          <w:p w:rsidR="00EA545B" w:rsidRPr="000259AD" w:rsidRDefault="00347FD7" w:rsidP="00B40D61">
            <w:pPr>
              <w:pStyle w:val="NoSpacing"/>
              <w:spacing w:after="0"/>
              <w:jc w:val="center"/>
              <w:rPr>
                <w:sz w:val="24"/>
                <w:szCs w:val="24"/>
              </w:rPr>
            </w:pPr>
            <w:r>
              <w:rPr>
                <w:sz w:val="24"/>
                <w:szCs w:val="24"/>
              </w:rPr>
              <w:t>1,035,359</w:t>
            </w:r>
          </w:p>
        </w:tc>
        <w:tc>
          <w:tcPr>
            <w:tcW w:w="1655" w:type="dxa"/>
            <w:vAlign w:val="center"/>
          </w:tcPr>
          <w:p w:rsidR="00EA545B" w:rsidRPr="000259AD" w:rsidRDefault="00347FD7" w:rsidP="00B40D61">
            <w:pPr>
              <w:pStyle w:val="NoSpacing"/>
              <w:spacing w:after="0"/>
              <w:jc w:val="center"/>
              <w:rPr>
                <w:sz w:val="24"/>
                <w:szCs w:val="24"/>
              </w:rPr>
            </w:pPr>
            <w:r>
              <w:rPr>
                <w:sz w:val="24"/>
                <w:szCs w:val="24"/>
              </w:rPr>
              <w:t>4,</w:t>
            </w:r>
            <w:r w:rsidR="00EA545B">
              <w:rPr>
                <w:sz w:val="24"/>
                <w:szCs w:val="24"/>
              </w:rPr>
              <w:t>36</w:t>
            </w:r>
            <w:r>
              <w:rPr>
                <w:sz w:val="24"/>
                <w:szCs w:val="24"/>
              </w:rPr>
              <w:t>3</w:t>
            </w:r>
          </w:p>
        </w:tc>
        <w:tc>
          <w:tcPr>
            <w:tcW w:w="1530" w:type="dxa"/>
            <w:vAlign w:val="center"/>
          </w:tcPr>
          <w:p w:rsidR="00EA545B" w:rsidRPr="000259AD" w:rsidRDefault="00347FD7" w:rsidP="00B40D61">
            <w:pPr>
              <w:pStyle w:val="NoSpacing"/>
              <w:spacing w:after="0"/>
              <w:jc w:val="center"/>
              <w:rPr>
                <w:sz w:val="24"/>
                <w:szCs w:val="24"/>
              </w:rPr>
            </w:pPr>
            <w:r>
              <w:rPr>
                <w:sz w:val="24"/>
                <w:szCs w:val="24"/>
              </w:rPr>
              <w:t>967</w:t>
            </w:r>
          </w:p>
        </w:tc>
        <w:tc>
          <w:tcPr>
            <w:tcW w:w="1530" w:type="dxa"/>
            <w:vAlign w:val="center"/>
          </w:tcPr>
          <w:p w:rsidR="00EA545B" w:rsidRPr="000259AD" w:rsidRDefault="00347FD7" w:rsidP="00B40D61">
            <w:pPr>
              <w:pStyle w:val="NoSpacing"/>
              <w:spacing w:after="0"/>
              <w:jc w:val="center"/>
              <w:rPr>
                <w:sz w:val="24"/>
                <w:szCs w:val="24"/>
              </w:rPr>
            </w:pPr>
            <w:r>
              <w:rPr>
                <w:sz w:val="24"/>
                <w:szCs w:val="24"/>
              </w:rPr>
              <w:t>5,330</w:t>
            </w:r>
          </w:p>
        </w:tc>
        <w:tc>
          <w:tcPr>
            <w:tcW w:w="1430" w:type="dxa"/>
            <w:vAlign w:val="center"/>
          </w:tcPr>
          <w:p w:rsidR="00EA545B" w:rsidRPr="000259AD" w:rsidRDefault="00347FD7" w:rsidP="00B40D61">
            <w:pPr>
              <w:pStyle w:val="NoSpacing"/>
              <w:spacing w:after="0"/>
              <w:jc w:val="center"/>
              <w:rPr>
                <w:sz w:val="24"/>
                <w:szCs w:val="24"/>
              </w:rPr>
            </w:pPr>
            <w:r>
              <w:rPr>
                <w:sz w:val="24"/>
                <w:szCs w:val="24"/>
              </w:rPr>
              <w:t>1,040,689</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 xml:space="preserve">Equipment rental, maintenance and </w:t>
            </w:r>
          </w:p>
          <w:p w:rsidR="00EA545B" w:rsidRPr="000259AD" w:rsidRDefault="00EA545B" w:rsidP="00B40D61">
            <w:pPr>
              <w:pStyle w:val="NoSpacing"/>
              <w:spacing w:after="0"/>
              <w:rPr>
                <w:sz w:val="24"/>
                <w:szCs w:val="24"/>
              </w:rPr>
            </w:pPr>
            <w:r w:rsidRPr="000259AD">
              <w:rPr>
                <w:sz w:val="24"/>
                <w:szCs w:val="24"/>
              </w:rPr>
              <w:t>repair</w:t>
            </w:r>
          </w:p>
        </w:tc>
        <w:tc>
          <w:tcPr>
            <w:tcW w:w="1440" w:type="dxa"/>
            <w:vAlign w:val="center"/>
          </w:tcPr>
          <w:p w:rsidR="00EA545B" w:rsidRPr="000259AD" w:rsidRDefault="00347FD7" w:rsidP="00B40D61">
            <w:pPr>
              <w:pStyle w:val="NoSpacing"/>
              <w:spacing w:after="0"/>
              <w:jc w:val="center"/>
              <w:rPr>
                <w:sz w:val="24"/>
                <w:szCs w:val="24"/>
              </w:rPr>
            </w:pPr>
            <w:r>
              <w:rPr>
                <w:sz w:val="24"/>
                <w:szCs w:val="24"/>
              </w:rPr>
              <w:t>9,</w:t>
            </w:r>
            <w:r w:rsidR="00EA545B">
              <w:rPr>
                <w:sz w:val="24"/>
                <w:szCs w:val="24"/>
              </w:rPr>
              <w:t>5</w:t>
            </w:r>
            <w:r>
              <w:rPr>
                <w:sz w:val="24"/>
                <w:szCs w:val="24"/>
              </w:rPr>
              <w:t>37</w:t>
            </w:r>
          </w:p>
        </w:tc>
        <w:tc>
          <w:tcPr>
            <w:tcW w:w="1800" w:type="dxa"/>
            <w:vAlign w:val="center"/>
          </w:tcPr>
          <w:p w:rsidR="00EA545B" w:rsidRPr="000259AD" w:rsidRDefault="00347FD7" w:rsidP="00B40D61">
            <w:pPr>
              <w:pStyle w:val="NoSpacing"/>
              <w:spacing w:after="0"/>
              <w:jc w:val="center"/>
              <w:rPr>
                <w:sz w:val="24"/>
                <w:szCs w:val="24"/>
              </w:rPr>
            </w:pPr>
            <w:r>
              <w:rPr>
                <w:sz w:val="24"/>
                <w:szCs w:val="24"/>
              </w:rPr>
              <w:t>9</w:t>
            </w:r>
            <w:r w:rsidR="00EA545B">
              <w:rPr>
                <w:sz w:val="24"/>
                <w:szCs w:val="24"/>
              </w:rPr>
              <w:t>,</w:t>
            </w:r>
            <w:r>
              <w:rPr>
                <w:sz w:val="24"/>
                <w:szCs w:val="24"/>
              </w:rPr>
              <w:t>271</w:t>
            </w:r>
          </w:p>
        </w:tc>
        <w:tc>
          <w:tcPr>
            <w:tcW w:w="1440" w:type="dxa"/>
            <w:vAlign w:val="center"/>
          </w:tcPr>
          <w:p w:rsidR="00EA545B" w:rsidRPr="000259AD" w:rsidRDefault="00347FD7" w:rsidP="00B40D61">
            <w:pPr>
              <w:pStyle w:val="NoSpacing"/>
              <w:spacing w:after="0"/>
              <w:jc w:val="center"/>
              <w:rPr>
                <w:sz w:val="24"/>
                <w:szCs w:val="24"/>
              </w:rPr>
            </w:pPr>
            <w:r>
              <w:rPr>
                <w:sz w:val="24"/>
                <w:szCs w:val="24"/>
              </w:rPr>
              <w:t>8,8</w:t>
            </w:r>
            <w:r w:rsidR="00EA545B">
              <w:rPr>
                <w:sz w:val="24"/>
                <w:szCs w:val="24"/>
              </w:rPr>
              <w:t>0</w:t>
            </w:r>
            <w:r>
              <w:rPr>
                <w:sz w:val="24"/>
                <w:szCs w:val="24"/>
              </w:rPr>
              <w:t>1</w:t>
            </w:r>
          </w:p>
        </w:tc>
        <w:tc>
          <w:tcPr>
            <w:tcW w:w="1440" w:type="dxa"/>
            <w:vAlign w:val="center"/>
          </w:tcPr>
          <w:p w:rsidR="00EA545B" w:rsidRPr="000259AD" w:rsidRDefault="00347FD7" w:rsidP="00B40D61">
            <w:pPr>
              <w:pStyle w:val="NoSpacing"/>
              <w:spacing w:after="0"/>
              <w:jc w:val="center"/>
              <w:rPr>
                <w:sz w:val="24"/>
                <w:szCs w:val="24"/>
              </w:rPr>
            </w:pPr>
            <w:r>
              <w:rPr>
                <w:sz w:val="24"/>
                <w:szCs w:val="24"/>
              </w:rPr>
              <w:t>27,6</w:t>
            </w:r>
            <w:r w:rsidR="00EA545B">
              <w:rPr>
                <w:sz w:val="24"/>
                <w:szCs w:val="24"/>
              </w:rPr>
              <w:t>0</w:t>
            </w:r>
            <w:r>
              <w:rPr>
                <w:sz w:val="24"/>
                <w:szCs w:val="24"/>
              </w:rPr>
              <w:t>9</w:t>
            </w:r>
          </w:p>
        </w:tc>
        <w:tc>
          <w:tcPr>
            <w:tcW w:w="1655" w:type="dxa"/>
            <w:vAlign w:val="center"/>
          </w:tcPr>
          <w:p w:rsidR="00EA545B" w:rsidRPr="000259AD" w:rsidRDefault="00347FD7" w:rsidP="00B40D61">
            <w:pPr>
              <w:pStyle w:val="NoSpacing"/>
              <w:spacing w:after="0"/>
              <w:jc w:val="center"/>
              <w:rPr>
                <w:sz w:val="24"/>
                <w:szCs w:val="24"/>
              </w:rPr>
            </w:pPr>
            <w:r>
              <w:rPr>
                <w:sz w:val="24"/>
                <w:szCs w:val="24"/>
              </w:rPr>
              <w:t>895</w:t>
            </w:r>
          </w:p>
        </w:tc>
        <w:tc>
          <w:tcPr>
            <w:tcW w:w="1530" w:type="dxa"/>
            <w:vAlign w:val="center"/>
          </w:tcPr>
          <w:p w:rsidR="00EA545B" w:rsidRPr="000259AD" w:rsidRDefault="00347FD7" w:rsidP="00B40D61">
            <w:pPr>
              <w:pStyle w:val="NoSpacing"/>
              <w:spacing w:after="0"/>
              <w:jc w:val="center"/>
              <w:rPr>
                <w:sz w:val="24"/>
                <w:szCs w:val="24"/>
              </w:rPr>
            </w:pPr>
            <w:r>
              <w:rPr>
                <w:sz w:val="24"/>
                <w:szCs w:val="24"/>
              </w:rPr>
              <w:t>131</w:t>
            </w:r>
          </w:p>
        </w:tc>
        <w:tc>
          <w:tcPr>
            <w:tcW w:w="1530" w:type="dxa"/>
            <w:vAlign w:val="center"/>
          </w:tcPr>
          <w:p w:rsidR="00EA545B" w:rsidRPr="000259AD" w:rsidRDefault="00347FD7" w:rsidP="00B40D61">
            <w:pPr>
              <w:pStyle w:val="NoSpacing"/>
              <w:spacing w:after="0"/>
              <w:jc w:val="center"/>
              <w:rPr>
                <w:sz w:val="24"/>
                <w:szCs w:val="24"/>
              </w:rPr>
            </w:pPr>
            <w:r>
              <w:rPr>
                <w:sz w:val="24"/>
                <w:szCs w:val="24"/>
              </w:rPr>
              <w:t>1,026</w:t>
            </w:r>
          </w:p>
        </w:tc>
        <w:tc>
          <w:tcPr>
            <w:tcW w:w="1430" w:type="dxa"/>
            <w:vAlign w:val="center"/>
          </w:tcPr>
          <w:p w:rsidR="00EA545B" w:rsidRPr="000259AD" w:rsidRDefault="00347FD7" w:rsidP="00B40D61">
            <w:pPr>
              <w:pStyle w:val="NoSpacing"/>
              <w:spacing w:after="0"/>
              <w:jc w:val="center"/>
              <w:rPr>
                <w:sz w:val="24"/>
                <w:szCs w:val="24"/>
              </w:rPr>
            </w:pPr>
            <w:r>
              <w:rPr>
                <w:sz w:val="24"/>
                <w:szCs w:val="24"/>
              </w:rPr>
              <w:t>28,635</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Equipment, Braille and Technology Center</w:t>
            </w:r>
          </w:p>
        </w:tc>
        <w:tc>
          <w:tcPr>
            <w:tcW w:w="1440" w:type="dxa"/>
            <w:vAlign w:val="center"/>
          </w:tcPr>
          <w:p w:rsidR="00EA545B" w:rsidRPr="000259AD" w:rsidRDefault="00347FD7" w:rsidP="00B40D61">
            <w:pPr>
              <w:pStyle w:val="NoSpacing"/>
              <w:spacing w:after="0"/>
              <w:jc w:val="center"/>
              <w:rPr>
                <w:sz w:val="24"/>
                <w:szCs w:val="24"/>
              </w:rPr>
            </w:pPr>
            <w:r>
              <w:rPr>
                <w:sz w:val="24"/>
                <w:szCs w:val="24"/>
              </w:rPr>
              <w:t>6,386</w:t>
            </w:r>
          </w:p>
        </w:tc>
        <w:tc>
          <w:tcPr>
            <w:tcW w:w="1800" w:type="dxa"/>
            <w:vAlign w:val="center"/>
          </w:tcPr>
          <w:p w:rsidR="00EA545B" w:rsidRPr="000259AD" w:rsidRDefault="00347FD7" w:rsidP="00B40D61">
            <w:pPr>
              <w:pStyle w:val="NoSpacing"/>
              <w:spacing w:after="0"/>
              <w:jc w:val="center"/>
              <w:rPr>
                <w:sz w:val="24"/>
                <w:szCs w:val="24"/>
              </w:rPr>
            </w:pPr>
            <w:r>
              <w:rPr>
                <w:sz w:val="24"/>
                <w:szCs w:val="24"/>
              </w:rPr>
              <w:t>6,198</w:t>
            </w:r>
          </w:p>
        </w:tc>
        <w:tc>
          <w:tcPr>
            <w:tcW w:w="1440" w:type="dxa"/>
            <w:vAlign w:val="center"/>
          </w:tcPr>
          <w:p w:rsidR="00EA545B" w:rsidRPr="000259AD" w:rsidRDefault="00347FD7" w:rsidP="00B40D61">
            <w:pPr>
              <w:pStyle w:val="NoSpacing"/>
              <w:spacing w:after="0"/>
              <w:jc w:val="center"/>
              <w:rPr>
                <w:sz w:val="24"/>
                <w:szCs w:val="24"/>
              </w:rPr>
            </w:pPr>
            <w:r>
              <w:rPr>
                <w:sz w:val="24"/>
                <w:szCs w:val="24"/>
              </w:rPr>
              <w:t>168,59</w:t>
            </w:r>
            <w:r w:rsidR="00EA545B">
              <w:rPr>
                <w:sz w:val="24"/>
                <w:szCs w:val="24"/>
              </w:rPr>
              <w:t>7</w:t>
            </w:r>
          </w:p>
        </w:tc>
        <w:tc>
          <w:tcPr>
            <w:tcW w:w="1440" w:type="dxa"/>
            <w:vAlign w:val="center"/>
          </w:tcPr>
          <w:p w:rsidR="00EA545B" w:rsidRPr="000259AD" w:rsidRDefault="00347FD7" w:rsidP="00B40D61">
            <w:pPr>
              <w:pStyle w:val="NoSpacing"/>
              <w:spacing w:after="0"/>
              <w:jc w:val="center"/>
              <w:rPr>
                <w:sz w:val="24"/>
                <w:szCs w:val="24"/>
              </w:rPr>
            </w:pPr>
            <w:r>
              <w:rPr>
                <w:sz w:val="24"/>
                <w:szCs w:val="24"/>
              </w:rPr>
              <w:t>181,181</w:t>
            </w:r>
          </w:p>
        </w:tc>
        <w:tc>
          <w:tcPr>
            <w:tcW w:w="1655"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30" w:type="dxa"/>
            <w:vAlign w:val="center"/>
          </w:tcPr>
          <w:p w:rsidR="00EA545B" w:rsidRPr="000259AD" w:rsidRDefault="00347FD7" w:rsidP="00B40D61">
            <w:pPr>
              <w:pStyle w:val="NoSpacing"/>
              <w:spacing w:after="0"/>
              <w:jc w:val="center"/>
              <w:rPr>
                <w:sz w:val="24"/>
                <w:szCs w:val="24"/>
              </w:rPr>
            </w:pPr>
            <w:r>
              <w:rPr>
                <w:sz w:val="24"/>
                <w:szCs w:val="24"/>
              </w:rPr>
              <w:t>181</w:t>
            </w:r>
            <w:r w:rsidR="00EA545B">
              <w:rPr>
                <w:sz w:val="24"/>
                <w:szCs w:val="24"/>
              </w:rPr>
              <w:t>,</w:t>
            </w:r>
            <w:r>
              <w:rPr>
                <w:sz w:val="24"/>
                <w:szCs w:val="24"/>
              </w:rPr>
              <w:t>181</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Pr>
                <w:sz w:val="24"/>
                <w:szCs w:val="24"/>
              </w:rPr>
              <w:t>Royalty fees</w:t>
            </w:r>
          </w:p>
        </w:tc>
        <w:tc>
          <w:tcPr>
            <w:tcW w:w="1440" w:type="dxa"/>
            <w:vAlign w:val="center"/>
          </w:tcPr>
          <w:p w:rsidR="00EA545B" w:rsidRPr="000259AD" w:rsidRDefault="00EA545B" w:rsidP="00B40D61">
            <w:pPr>
              <w:pStyle w:val="NoSpacing"/>
              <w:spacing w:after="0"/>
              <w:jc w:val="center"/>
              <w:rPr>
                <w:sz w:val="24"/>
                <w:szCs w:val="24"/>
              </w:rPr>
            </w:pPr>
            <w:r>
              <w:rPr>
                <w:sz w:val="24"/>
                <w:szCs w:val="24"/>
              </w:rPr>
              <w:t>--</w:t>
            </w:r>
          </w:p>
        </w:tc>
        <w:tc>
          <w:tcPr>
            <w:tcW w:w="1800" w:type="dxa"/>
            <w:vAlign w:val="center"/>
          </w:tcPr>
          <w:p w:rsidR="00EA545B" w:rsidRDefault="00EA545B" w:rsidP="00B40D61">
            <w:pPr>
              <w:pStyle w:val="NoSpacing"/>
              <w:spacing w:after="0"/>
              <w:jc w:val="center"/>
              <w:rPr>
                <w:sz w:val="24"/>
                <w:szCs w:val="24"/>
              </w:rPr>
            </w:pPr>
            <w:r>
              <w:rPr>
                <w:sz w:val="24"/>
                <w:szCs w:val="24"/>
              </w:rPr>
              <w:t>--</w:t>
            </w:r>
          </w:p>
        </w:tc>
        <w:tc>
          <w:tcPr>
            <w:tcW w:w="1440" w:type="dxa"/>
            <w:vAlign w:val="center"/>
          </w:tcPr>
          <w:p w:rsidR="00EA545B" w:rsidRDefault="000D31B5" w:rsidP="00B40D61">
            <w:pPr>
              <w:pStyle w:val="NoSpacing"/>
              <w:spacing w:after="0"/>
              <w:jc w:val="center"/>
              <w:rPr>
                <w:sz w:val="24"/>
                <w:szCs w:val="24"/>
              </w:rPr>
            </w:pPr>
            <w:r>
              <w:rPr>
                <w:sz w:val="24"/>
                <w:szCs w:val="24"/>
              </w:rPr>
              <w:t>54,295</w:t>
            </w:r>
          </w:p>
        </w:tc>
        <w:tc>
          <w:tcPr>
            <w:tcW w:w="1440" w:type="dxa"/>
            <w:vAlign w:val="center"/>
          </w:tcPr>
          <w:p w:rsidR="00EA545B" w:rsidRDefault="000D31B5" w:rsidP="00B40D61">
            <w:pPr>
              <w:pStyle w:val="NoSpacing"/>
              <w:spacing w:after="0"/>
              <w:jc w:val="center"/>
              <w:rPr>
                <w:sz w:val="24"/>
                <w:szCs w:val="24"/>
              </w:rPr>
            </w:pPr>
            <w:r>
              <w:rPr>
                <w:sz w:val="24"/>
                <w:szCs w:val="24"/>
              </w:rPr>
              <w:t>54,295</w:t>
            </w:r>
          </w:p>
        </w:tc>
        <w:tc>
          <w:tcPr>
            <w:tcW w:w="1655" w:type="dxa"/>
            <w:vAlign w:val="center"/>
          </w:tcPr>
          <w:p w:rsidR="00EA545B" w:rsidRPr="000259AD" w:rsidRDefault="000D31B5" w:rsidP="00B40D61">
            <w:pPr>
              <w:pStyle w:val="NoSpacing"/>
              <w:spacing w:after="0"/>
              <w:jc w:val="center"/>
              <w:rPr>
                <w:sz w:val="24"/>
                <w:szCs w:val="24"/>
              </w:rPr>
            </w:pPr>
            <w:r>
              <w:rPr>
                <w:sz w:val="24"/>
                <w:szCs w:val="24"/>
              </w:rPr>
              <w:t>1,679</w:t>
            </w:r>
          </w:p>
        </w:tc>
        <w:tc>
          <w:tcPr>
            <w:tcW w:w="1530" w:type="dxa"/>
            <w:vAlign w:val="center"/>
          </w:tcPr>
          <w:p w:rsidR="00EA545B" w:rsidRPr="000259AD" w:rsidRDefault="00EA545B" w:rsidP="00B40D61">
            <w:pPr>
              <w:pStyle w:val="NoSpacing"/>
              <w:spacing w:after="0"/>
              <w:jc w:val="center"/>
              <w:rPr>
                <w:sz w:val="24"/>
                <w:szCs w:val="24"/>
              </w:rPr>
            </w:pPr>
            <w:r>
              <w:rPr>
                <w:sz w:val="24"/>
                <w:szCs w:val="24"/>
              </w:rPr>
              <w:t>--</w:t>
            </w:r>
          </w:p>
        </w:tc>
        <w:tc>
          <w:tcPr>
            <w:tcW w:w="1530" w:type="dxa"/>
            <w:vAlign w:val="center"/>
          </w:tcPr>
          <w:p w:rsidR="00EA545B" w:rsidRPr="000259AD" w:rsidRDefault="000D31B5" w:rsidP="00B40D61">
            <w:pPr>
              <w:pStyle w:val="NoSpacing"/>
              <w:spacing w:after="0"/>
              <w:jc w:val="center"/>
              <w:rPr>
                <w:sz w:val="24"/>
                <w:szCs w:val="24"/>
              </w:rPr>
            </w:pPr>
            <w:r>
              <w:rPr>
                <w:sz w:val="24"/>
                <w:szCs w:val="24"/>
              </w:rPr>
              <w:t>1,679</w:t>
            </w:r>
          </w:p>
        </w:tc>
        <w:tc>
          <w:tcPr>
            <w:tcW w:w="1430" w:type="dxa"/>
            <w:vAlign w:val="center"/>
          </w:tcPr>
          <w:p w:rsidR="00EA545B" w:rsidRPr="000259AD" w:rsidRDefault="000D31B5" w:rsidP="00B40D61">
            <w:pPr>
              <w:pStyle w:val="NoSpacing"/>
              <w:spacing w:after="0"/>
              <w:jc w:val="center"/>
              <w:rPr>
                <w:sz w:val="24"/>
                <w:szCs w:val="24"/>
              </w:rPr>
            </w:pPr>
            <w:r>
              <w:rPr>
                <w:sz w:val="24"/>
                <w:szCs w:val="24"/>
              </w:rPr>
              <w:t>55,974</w:t>
            </w:r>
          </w:p>
        </w:tc>
      </w:tr>
      <w:tr w:rsidR="00EA545B" w:rsidRPr="0038283C" w:rsidTr="00B40D61">
        <w:trPr>
          <w:cantSplit/>
          <w:trHeight w:val="350"/>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Data processing</w:t>
            </w:r>
          </w:p>
        </w:tc>
        <w:tc>
          <w:tcPr>
            <w:tcW w:w="1440" w:type="dxa"/>
            <w:vAlign w:val="center"/>
          </w:tcPr>
          <w:p w:rsidR="00EA545B" w:rsidRPr="000259AD" w:rsidRDefault="000D31B5" w:rsidP="00B40D61">
            <w:pPr>
              <w:pStyle w:val="NoSpacing"/>
              <w:spacing w:after="0"/>
              <w:jc w:val="center"/>
              <w:rPr>
                <w:sz w:val="24"/>
                <w:szCs w:val="24"/>
              </w:rPr>
            </w:pPr>
            <w:r>
              <w:rPr>
                <w:sz w:val="24"/>
                <w:szCs w:val="24"/>
              </w:rPr>
              <w:t>50,40</w:t>
            </w:r>
            <w:r w:rsidR="00EA545B">
              <w:rPr>
                <w:sz w:val="24"/>
                <w:szCs w:val="24"/>
              </w:rPr>
              <w:t>4</w:t>
            </w:r>
          </w:p>
        </w:tc>
        <w:tc>
          <w:tcPr>
            <w:tcW w:w="180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4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440" w:type="dxa"/>
            <w:vAlign w:val="center"/>
          </w:tcPr>
          <w:p w:rsidR="00EA545B" w:rsidRPr="000259AD" w:rsidRDefault="000D31B5" w:rsidP="00B40D61">
            <w:pPr>
              <w:pStyle w:val="NoSpacing"/>
              <w:spacing w:after="0"/>
              <w:jc w:val="center"/>
              <w:rPr>
                <w:sz w:val="24"/>
                <w:szCs w:val="24"/>
              </w:rPr>
            </w:pPr>
            <w:r>
              <w:rPr>
                <w:sz w:val="24"/>
                <w:szCs w:val="24"/>
              </w:rPr>
              <w:t>50,40</w:t>
            </w:r>
            <w:r w:rsidR="00EA545B">
              <w:rPr>
                <w:sz w:val="24"/>
                <w:szCs w:val="24"/>
              </w:rPr>
              <w:t>4</w:t>
            </w:r>
          </w:p>
        </w:tc>
        <w:tc>
          <w:tcPr>
            <w:tcW w:w="1655" w:type="dxa"/>
            <w:vAlign w:val="center"/>
          </w:tcPr>
          <w:p w:rsidR="00EA545B" w:rsidRPr="000259AD" w:rsidRDefault="000D31B5" w:rsidP="00B40D61">
            <w:pPr>
              <w:pStyle w:val="NoSpacing"/>
              <w:spacing w:after="0"/>
              <w:jc w:val="center"/>
              <w:rPr>
                <w:sz w:val="24"/>
                <w:szCs w:val="24"/>
              </w:rPr>
            </w:pPr>
            <w:r>
              <w:rPr>
                <w:sz w:val="24"/>
                <w:szCs w:val="24"/>
              </w:rPr>
              <w:t>50,40</w:t>
            </w:r>
            <w:r w:rsidR="00EA545B">
              <w:rPr>
                <w:sz w:val="24"/>
                <w:szCs w:val="24"/>
              </w:rPr>
              <w:t>4</w:t>
            </w:r>
          </w:p>
        </w:tc>
        <w:tc>
          <w:tcPr>
            <w:tcW w:w="1530" w:type="dxa"/>
            <w:vAlign w:val="center"/>
          </w:tcPr>
          <w:p w:rsidR="00EA545B" w:rsidRPr="000259AD" w:rsidRDefault="00EA545B" w:rsidP="00B40D61">
            <w:pPr>
              <w:pStyle w:val="NoSpacing"/>
              <w:spacing w:after="0"/>
              <w:jc w:val="center"/>
              <w:rPr>
                <w:sz w:val="24"/>
                <w:szCs w:val="24"/>
              </w:rPr>
            </w:pPr>
            <w:r w:rsidRPr="000259AD">
              <w:rPr>
                <w:sz w:val="24"/>
                <w:szCs w:val="24"/>
              </w:rPr>
              <w:t>--</w:t>
            </w:r>
          </w:p>
        </w:tc>
        <w:tc>
          <w:tcPr>
            <w:tcW w:w="1530" w:type="dxa"/>
            <w:vAlign w:val="center"/>
          </w:tcPr>
          <w:p w:rsidR="00EA545B" w:rsidRPr="000259AD" w:rsidRDefault="000D31B5" w:rsidP="00B40D61">
            <w:pPr>
              <w:pStyle w:val="NoSpacing"/>
              <w:spacing w:after="0"/>
              <w:jc w:val="center"/>
              <w:rPr>
                <w:sz w:val="24"/>
                <w:szCs w:val="24"/>
              </w:rPr>
            </w:pPr>
            <w:r>
              <w:rPr>
                <w:sz w:val="24"/>
                <w:szCs w:val="24"/>
              </w:rPr>
              <w:t>50,40</w:t>
            </w:r>
            <w:r w:rsidR="00EA545B">
              <w:rPr>
                <w:sz w:val="24"/>
                <w:szCs w:val="24"/>
              </w:rPr>
              <w:t>4</w:t>
            </w:r>
          </w:p>
        </w:tc>
        <w:tc>
          <w:tcPr>
            <w:tcW w:w="1430" w:type="dxa"/>
            <w:vAlign w:val="center"/>
          </w:tcPr>
          <w:p w:rsidR="00EA545B" w:rsidRPr="000259AD" w:rsidRDefault="000D31B5" w:rsidP="00B40D61">
            <w:pPr>
              <w:pStyle w:val="NoSpacing"/>
              <w:spacing w:after="0"/>
              <w:jc w:val="center"/>
              <w:rPr>
                <w:sz w:val="24"/>
                <w:szCs w:val="24"/>
              </w:rPr>
            </w:pPr>
            <w:r>
              <w:rPr>
                <w:sz w:val="24"/>
                <w:szCs w:val="24"/>
              </w:rPr>
              <w:t>100,80</w:t>
            </w:r>
            <w:r w:rsidR="00EA545B">
              <w:rPr>
                <w:sz w:val="24"/>
                <w:szCs w:val="24"/>
              </w:rPr>
              <w:t>8</w:t>
            </w:r>
          </w:p>
        </w:tc>
      </w:tr>
      <w:tr w:rsidR="00EA545B" w:rsidRPr="0038283C" w:rsidTr="00B40D61">
        <w:trPr>
          <w:cantSplit/>
          <w:trHeight w:val="422"/>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Other</w:t>
            </w:r>
          </w:p>
        </w:tc>
        <w:tc>
          <w:tcPr>
            <w:tcW w:w="1440" w:type="dxa"/>
            <w:vAlign w:val="center"/>
          </w:tcPr>
          <w:p w:rsidR="00EA545B" w:rsidRPr="00FF439F" w:rsidRDefault="000D31B5" w:rsidP="00B40D61">
            <w:pPr>
              <w:pStyle w:val="NoSpacing"/>
              <w:spacing w:after="0"/>
              <w:jc w:val="center"/>
              <w:rPr>
                <w:sz w:val="24"/>
                <w:szCs w:val="24"/>
                <w:u w:val="single"/>
              </w:rPr>
            </w:pPr>
            <w:r>
              <w:rPr>
                <w:sz w:val="24"/>
                <w:szCs w:val="24"/>
                <w:u w:val="single"/>
              </w:rPr>
              <w:t>1,566</w:t>
            </w:r>
          </w:p>
        </w:tc>
        <w:tc>
          <w:tcPr>
            <w:tcW w:w="1800" w:type="dxa"/>
            <w:vAlign w:val="center"/>
          </w:tcPr>
          <w:p w:rsidR="00EA545B" w:rsidRPr="00FF439F" w:rsidRDefault="000D31B5" w:rsidP="00B40D61">
            <w:pPr>
              <w:pStyle w:val="NoSpacing"/>
              <w:spacing w:after="0"/>
              <w:jc w:val="center"/>
              <w:rPr>
                <w:sz w:val="24"/>
                <w:szCs w:val="24"/>
                <w:u w:val="single"/>
              </w:rPr>
            </w:pPr>
            <w:r>
              <w:rPr>
                <w:sz w:val="24"/>
                <w:szCs w:val="24"/>
                <w:u w:val="single"/>
              </w:rPr>
              <w:t>1,071</w:t>
            </w:r>
          </w:p>
        </w:tc>
        <w:tc>
          <w:tcPr>
            <w:tcW w:w="1440" w:type="dxa"/>
            <w:vAlign w:val="center"/>
          </w:tcPr>
          <w:p w:rsidR="00EA545B" w:rsidRPr="00FF439F" w:rsidRDefault="000D31B5" w:rsidP="00B40D61">
            <w:pPr>
              <w:pStyle w:val="NoSpacing"/>
              <w:spacing w:after="0"/>
              <w:jc w:val="center"/>
              <w:rPr>
                <w:sz w:val="24"/>
                <w:szCs w:val="24"/>
                <w:u w:val="single"/>
              </w:rPr>
            </w:pPr>
            <w:r>
              <w:rPr>
                <w:sz w:val="24"/>
                <w:szCs w:val="24"/>
                <w:u w:val="single"/>
              </w:rPr>
              <w:t>2,096</w:t>
            </w:r>
          </w:p>
        </w:tc>
        <w:tc>
          <w:tcPr>
            <w:tcW w:w="1440" w:type="dxa"/>
            <w:vAlign w:val="center"/>
          </w:tcPr>
          <w:p w:rsidR="00EA545B" w:rsidRPr="00FF439F" w:rsidRDefault="000D31B5" w:rsidP="00B40D61">
            <w:pPr>
              <w:pStyle w:val="NoSpacing"/>
              <w:spacing w:after="0"/>
              <w:jc w:val="center"/>
              <w:rPr>
                <w:sz w:val="24"/>
                <w:szCs w:val="24"/>
                <w:u w:val="single"/>
              </w:rPr>
            </w:pPr>
            <w:r>
              <w:rPr>
                <w:sz w:val="24"/>
                <w:szCs w:val="24"/>
                <w:u w:val="single"/>
              </w:rPr>
              <w:t>4,733</w:t>
            </w:r>
          </w:p>
        </w:tc>
        <w:tc>
          <w:tcPr>
            <w:tcW w:w="1655" w:type="dxa"/>
            <w:vAlign w:val="center"/>
          </w:tcPr>
          <w:p w:rsidR="00EA545B" w:rsidRPr="00FF439F" w:rsidRDefault="000D31B5" w:rsidP="00B40D61">
            <w:pPr>
              <w:pStyle w:val="NoSpacing"/>
              <w:spacing w:after="0"/>
              <w:jc w:val="center"/>
              <w:rPr>
                <w:sz w:val="24"/>
                <w:szCs w:val="24"/>
                <w:u w:val="single"/>
              </w:rPr>
            </w:pPr>
            <w:r>
              <w:rPr>
                <w:sz w:val="24"/>
                <w:szCs w:val="24"/>
                <w:u w:val="single"/>
              </w:rPr>
              <w:t>6,743</w:t>
            </w:r>
          </w:p>
        </w:tc>
        <w:tc>
          <w:tcPr>
            <w:tcW w:w="1530" w:type="dxa"/>
            <w:vAlign w:val="center"/>
          </w:tcPr>
          <w:p w:rsidR="00EA545B" w:rsidRPr="00FF439F" w:rsidRDefault="00EA545B" w:rsidP="00B40D61">
            <w:pPr>
              <w:pStyle w:val="NoSpacing"/>
              <w:spacing w:after="0"/>
              <w:jc w:val="center"/>
              <w:rPr>
                <w:sz w:val="24"/>
                <w:szCs w:val="24"/>
                <w:u w:val="single"/>
              </w:rPr>
            </w:pPr>
            <w:r w:rsidRPr="00FF439F">
              <w:rPr>
                <w:sz w:val="24"/>
                <w:szCs w:val="24"/>
                <w:u w:val="single"/>
              </w:rPr>
              <w:t>--</w:t>
            </w:r>
          </w:p>
        </w:tc>
        <w:tc>
          <w:tcPr>
            <w:tcW w:w="1530" w:type="dxa"/>
            <w:vAlign w:val="center"/>
          </w:tcPr>
          <w:p w:rsidR="00EA545B" w:rsidRPr="00FF439F" w:rsidRDefault="000D31B5" w:rsidP="00B40D61">
            <w:pPr>
              <w:pStyle w:val="NoSpacing"/>
              <w:spacing w:after="0"/>
              <w:jc w:val="center"/>
              <w:rPr>
                <w:sz w:val="24"/>
                <w:szCs w:val="24"/>
                <w:u w:val="single"/>
              </w:rPr>
            </w:pPr>
            <w:r>
              <w:rPr>
                <w:sz w:val="24"/>
                <w:szCs w:val="24"/>
                <w:u w:val="single"/>
              </w:rPr>
              <w:t>6,743</w:t>
            </w:r>
          </w:p>
        </w:tc>
        <w:tc>
          <w:tcPr>
            <w:tcW w:w="1430" w:type="dxa"/>
            <w:vAlign w:val="center"/>
          </w:tcPr>
          <w:p w:rsidR="00EA545B" w:rsidRPr="00FF439F" w:rsidRDefault="000D31B5" w:rsidP="00B40D61">
            <w:pPr>
              <w:pStyle w:val="NoSpacing"/>
              <w:spacing w:after="0"/>
              <w:jc w:val="center"/>
              <w:rPr>
                <w:sz w:val="24"/>
                <w:szCs w:val="24"/>
                <w:u w:val="single"/>
              </w:rPr>
            </w:pPr>
            <w:r>
              <w:rPr>
                <w:sz w:val="24"/>
                <w:szCs w:val="24"/>
                <w:u w:val="single"/>
              </w:rPr>
              <w:t>11,476</w:t>
            </w:r>
          </w:p>
        </w:tc>
      </w:tr>
      <w:tr w:rsidR="00EA545B" w:rsidRPr="0038283C" w:rsidTr="00B40D61">
        <w:trPr>
          <w:cantSplit/>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Total expenses before depreciation</w:t>
            </w:r>
            <w:r>
              <w:rPr>
                <w:sz w:val="24"/>
                <w:szCs w:val="24"/>
              </w:rPr>
              <w:t xml:space="preserve"> and amortization</w:t>
            </w:r>
          </w:p>
        </w:tc>
        <w:tc>
          <w:tcPr>
            <w:tcW w:w="1440" w:type="dxa"/>
            <w:vAlign w:val="center"/>
          </w:tcPr>
          <w:p w:rsidR="00EA545B" w:rsidRPr="000259AD" w:rsidRDefault="000D31B5" w:rsidP="00B40D61">
            <w:pPr>
              <w:pStyle w:val="NoSpacing"/>
              <w:spacing w:after="0"/>
              <w:jc w:val="center"/>
              <w:rPr>
                <w:sz w:val="24"/>
                <w:szCs w:val="24"/>
              </w:rPr>
            </w:pPr>
            <w:r>
              <w:rPr>
                <w:sz w:val="24"/>
                <w:szCs w:val="24"/>
              </w:rPr>
              <w:t>8,782,540</w:t>
            </w:r>
          </w:p>
        </w:tc>
        <w:tc>
          <w:tcPr>
            <w:tcW w:w="1800" w:type="dxa"/>
            <w:vAlign w:val="center"/>
          </w:tcPr>
          <w:p w:rsidR="00EA545B" w:rsidRPr="000259AD" w:rsidRDefault="000D31B5" w:rsidP="00B40D61">
            <w:pPr>
              <w:pStyle w:val="NoSpacing"/>
              <w:spacing w:after="0"/>
              <w:jc w:val="center"/>
              <w:rPr>
                <w:sz w:val="24"/>
                <w:szCs w:val="24"/>
              </w:rPr>
            </w:pPr>
            <w:r>
              <w:rPr>
                <w:sz w:val="24"/>
                <w:szCs w:val="24"/>
              </w:rPr>
              <w:t>6,001,816</w:t>
            </w:r>
          </w:p>
        </w:tc>
        <w:tc>
          <w:tcPr>
            <w:tcW w:w="1440" w:type="dxa"/>
            <w:vAlign w:val="center"/>
          </w:tcPr>
          <w:p w:rsidR="00EA545B" w:rsidRPr="000259AD" w:rsidRDefault="000D31B5" w:rsidP="00B40D61">
            <w:pPr>
              <w:pStyle w:val="NoSpacing"/>
              <w:spacing w:after="0"/>
              <w:jc w:val="center"/>
              <w:rPr>
                <w:sz w:val="24"/>
                <w:szCs w:val="24"/>
              </w:rPr>
            </w:pPr>
            <w:r>
              <w:rPr>
                <w:sz w:val="24"/>
                <w:szCs w:val="24"/>
              </w:rPr>
              <w:t>5,068,637</w:t>
            </w:r>
          </w:p>
        </w:tc>
        <w:tc>
          <w:tcPr>
            <w:tcW w:w="1440" w:type="dxa"/>
            <w:vAlign w:val="center"/>
          </w:tcPr>
          <w:p w:rsidR="00EA545B" w:rsidRPr="000259AD" w:rsidRDefault="000D31B5" w:rsidP="00B40D61">
            <w:pPr>
              <w:pStyle w:val="NoSpacing"/>
              <w:spacing w:after="0"/>
              <w:jc w:val="center"/>
              <w:rPr>
                <w:sz w:val="24"/>
                <w:szCs w:val="24"/>
              </w:rPr>
            </w:pPr>
            <w:r>
              <w:rPr>
                <w:sz w:val="24"/>
                <w:szCs w:val="24"/>
              </w:rPr>
              <w:t>19,852,99</w:t>
            </w:r>
            <w:r w:rsidR="00EA545B">
              <w:rPr>
                <w:sz w:val="24"/>
                <w:szCs w:val="24"/>
              </w:rPr>
              <w:t>3</w:t>
            </w:r>
          </w:p>
        </w:tc>
        <w:tc>
          <w:tcPr>
            <w:tcW w:w="1655" w:type="dxa"/>
            <w:vAlign w:val="center"/>
          </w:tcPr>
          <w:p w:rsidR="00EA545B" w:rsidRPr="000259AD" w:rsidRDefault="000D31B5" w:rsidP="00B40D61">
            <w:pPr>
              <w:pStyle w:val="NoSpacing"/>
              <w:spacing w:after="0"/>
              <w:jc w:val="center"/>
              <w:rPr>
                <w:sz w:val="24"/>
                <w:szCs w:val="24"/>
              </w:rPr>
            </w:pPr>
            <w:r>
              <w:rPr>
                <w:sz w:val="24"/>
                <w:szCs w:val="24"/>
              </w:rPr>
              <w:t>5</w:t>
            </w:r>
            <w:r w:rsidR="00EA545B">
              <w:rPr>
                <w:sz w:val="24"/>
                <w:szCs w:val="24"/>
              </w:rPr>
              <w:t>6</w:t>
            </w:r>
            <w:r>
              <w:rPr>
                <w:sz w:val="24"/>
                <w:szCs w:val="24"/>
              </w:rPr>
              <w:t>5</w:t>
            </w:r>
            <w:r w:rsidR="00EA545B">
              <w:rPr>
                <w:sz w:val="24"/>
                <w:szCs w:val="24"/>
              </w:rPr>
              <w:t>,</w:t>
            </w:r>
            <w:r>
              <w:rPr>
                <w:sz w:val="24"/>
                <w:szCs w:val="24"/>
              </w:rPr>
              <w:t>3</w:t>
            </w:r>
            <w:r w:rsidR="00EA545B">
              <w:rPr>
                <w:sz w:val="24"/>
                <w:szCs w:val="24"/>
              </w:rPr>
              <w:t>9</w:t>
            </w:r>
            <w:r>
              <w:rPr>
                <w:sz w:val="24"/>
                <w:szCs w:val="24"/>
              </w:rPr>
              <w:t>3</w:t>
            </w:r>
          </w:p>
        </w:tc>
        <w:tc>
          <w:tcPr>
            <w:tcW w:w="1530" w:type="dxa"/>
            <w:vAlign w:val="center"/>
          </w:tcPr>
          <w:p w:rsidR="00EA545B" w:rsidRPr="000259AD" w:rsidRDefault="000D31B5" w:rsidP="00B40D61">
            <w:pPr>
              <w:pStyle w:val="NoSpacing"/>
              <w:spacing w:after="0"/>
              <w:jc w:val="center"/>
              <w:rPr>
                <w:sz w:val="24"/>
                <w:szCs w:val="24"/>
              </w:rPr>
            </w:pPr>
            <w:r>
              <w:rPr>
                <w:sz w:val="24"/>
                <w:szCs w:val="24"/>
              </w:rPr>
              <w:t>1,528,849</w:t>
            </w:r>
          </w:p>
        </w:tc>
        <w:tc>
          <w:tcPr>
            <w:tcW w:w="1530" w:type="dxa"/>
            <w:vAlign w:val="center"/>
          </w:tcPr>
          <w:p w:rsidR="00EA545B" w:rsidRPr="000259AD" w:rsidRDefault="000D31B5" w:rsidP="00B40D61">
            <w:pPr>
              <w:pStyle w:val="NoSpacing"/>
              <w:spacing w:after="0"/>
              <w:jc w:val="center"/>
              <w:rPr>
                <w:sz w:val="24"/>
                <w:szCs w:val="24"/>
              </w:rPr>
            </w:pPr>
            <w:r>
              <w:rPr>
                <w:sz w:val="24"/>
                <w:szCs w:val="24"/>
              </w:rPr>
              <w:t>2,094,242</w:t>
            </w:r>
          </w:p>
        </w:tc>
        <w:tc>
          <w:tcPr>
            <w:tcW w:w="1430" w:type="dxa"/>
            <w:vAlign w:val="center"/>
          </w:tcPr>
          <w:p w:rsidR="00EA545B" w:rsidRPr="000259AD" w:rsidRDefault="000D31B5" w:rsidP="00B40D61">
            <w:pPr>
              <w:pStyle w:val="NoSpacing"/>
              <w:spacing w:after="0"/>
              <w:jc w:val="center"/>
              <w:rPr>
                <w:sz w:val="24"/>
                <w:szCs w:val="24"/>
              </w:rPr>
            </w:pPr>
            <w:r>
              <w:rPr>
                <w:sz w:val="24"/>
                <w:szCs w:val="24"/>
              </w:rPr>
              <w:t>21,947,235</w:t>
            </w:r>
          </w:p>
        </w:tc>
      </w:tr>
      <w:tr w:rsidR="00EA545B" w:rsidRPr="0038283C" w:rsidTr="00B40D61">
        <w:trPr>
          <w:cantSplit/>
          <w:trHeight w:val="377"/>
          <w:jc w:val="center"/>
        </w:trPr>
        <w:tc>
          <w:tcPr>
            <w:tcW w:w="2905" w:type="dxa"/>
            <w:vAlign w:val="center"/>
          </w:tcPr>
          <w:p w:rsidR="00EA545B" w:rsidRPr="000259AD" w:rsidRDefault="00EA545B" w:rsidP="00B40D61">
            <w:pPr>
              <w:pStyle w:val="NoSpacing"/>
              <w:spacing w:after="0"/>
              <w:rPr>
                <w:sz w:val="24"/>
                <w:szCs w:val="24"/>
              </w:rPr>
            </w:pPr>
            <w:r>
              <w:rPr>
                <w:sz w:val="24"/>
                <w:szCs w:val="24"/>
              </w:rPr>
              <w:t>Depreciation</w:t>
            </w:r>
          </w:p>
        </w:tc>
        <w:tc>
          <w:tcPr>
            <w:tcW w:w="1440" w:type="dxa"/>
            <w:vAlign w:val="center"/>
          </w:tcPr>
          <w:p w:rsidR="00EA545B" w:rsidRPr="007A78FC" w:rsidRDefault="000D31B5" w:rsidP="00B40D61">
            <w:pPr>
              <w:pStyle w:val="NoSpacing"/>
              <w:spacing w:after="0"/>
              <w:jc w:val="center"/>
              <w:rPr>
                <w:sz w:val="24"/>
                <w:szCs w:val="24"/>
              </w:rPr>
            </w:pPr>
            <w:r>
              <w:rPr>
                <w:sz w:val="24"/>
                <w:szCs w:val="24"/>
              </w:rPr>
              <w:t>22,249</w:t>
            </w:r>
          </w:p>
        </w:tc>
        <w:tc>
          <w:tcPr>
            <w:tcW w:w="1800" w:type="dxa"/>
            <w:vAlign w:val="center"/>
          </w:tcPr>
          <w:p w:rsidR="00EA545B" w:rsidRPr="007A78FC" w:rsidRDefault="000D31B5" w:rsidP="00B40D61">
            <w:pPr>
              <w:pStyle w:val="NoSpacing"/>
              <w:spacing w:after="0"/>
              <w:jc w:val="center"/>
              <w:rPr>
                <w:sz w:val="24"/>
                <w:szCs w:val="24"/>
              </w:rPr>
            </w:pPr>
            <w:r>
              <w:rPr>
                <w:sz w:val="24"/>
                <w:szCs w:val="24"/>
              </w:rPr>
              <w:t>21,5</w:t>
            </w:r>
            <w:r w:rsidR="00EA545B" w:rsidRPr="007A78FC">
              <w:rPr>
                <w:sz w:val="24"/>
                <w:szCs w:val="24"/>
              </w:rPr>
              <w:t>7</w:t>
            </w:r>
            <w:r>
              <w:rPr>
                <w:sz w:val="24"/>
                <w:szCs w:val="24"/>
              </w:rPr>
              <w:t>4</w:t>
            </w:r>
          </w:p>
        </w:tc>
        <w:tc>
          <w:tcPr>
            <w:tcW w:w="1440" w:type="dxa"/>
            <w:vAlign w:val="center"/>
          </w:tcPr>
          <w:p w:rsidR="00EA545B" w:rsidRPr="007A78FC" w:rsidRDefault="000D31B5" w:rsidP="00B40D61">
            <w:pPr>
              <w:pStyle w:val="NoSpacing"/>
              <w:spacing w:after="0"/>
              <w:jc w:val="center"/>
              <w:rPr>
                <w:sz w:val="24"/>
                <w:szCs w:val="24"/>
              </w:rPr>
            </w:pPr>
            <w:r>
              <w:rPr>
                <w:sz w:val="24"/>
                <w:szCs w:val="24"/>
              </w:rPr>
              <w:t>22,249</w:t>
            </w:r>
          </w:p>
        </w:tc>
        <w:tc>
          <w:tcPr>
            <w:tcW w:w="1440" w:type="dxa"/>
            <w:vAlign w:val="center"/>
          </w:tcPr>
          <w:p w:rsidR="00EA545B" w:rsidRPr="007A78FC" w:rsidRDefault="000D31B5" w:rsidP="00B40D61">
            <w:pPr>
              <w:pStyle w:val="NoSpacing"/>
              <w:spacing w:after="0"/>
              <w:jc w:val="center"/>
              <w:rPr>
                <w:sz w:val="24"/>
                <w:szCs w:val="24"/>
              </w:rPr>
            </w:pPr>
            <w:r>
              <w:rPr>
                <w:sz w:val="24"/>
                <w:szCs w:val="24"/>
              </w:rPr>
              <w:t>66,072</w:t>
            </w:r>
          </w:p>
        </w:tc>
        <w:tc>
          <w:tcPr>
            <w:tcW w:w="1655" w:type="dxa"/>
            <w:vAlign w:val="center"/>
          </w:tcPr>
          <w:p w:rsidR="00EA545B" w:rsidRPr="007A78FC" w:rsidRDefault="000D31B5" w:rsidP="00B40D61">
            <w:pPr>
              <w:pStyle w:val="NoSpacing"/>
              <w:spacing w:after="0"/>
              <w:jc w:val="center"/>
              <w:rPr>
                <w:sz w:val="24"/>
                <w:szCs w:val="24"/>
              </w:rPr>
            </w:pPr>
            <w:r>
              <w:rPr>
                <w:sz w:val="24"/>
                <w:szCs w:val="24"/>
              </w:rPr>
              <w:t>674</w:t>
            </w:r>
          </w:p>
        </w:tc>
        <w:tc>
          <w:tcPr>
            <w:tcW w:w="1530" w:type="dxa"/>
            <w:vAlign w:val="center"/>
          </w:tcPr>
          <w:p w:rsidR="00EA545B" w:rsidRPr="007A78FC" w:rsidRDefault="000D31B5" w:rsidP="00B40D61">
            <w:pPr>
              <w:pStyle w:val="NoSpacing"/>
              <w:spacing w:after="0"/>
              <w:jc w:val="center"/>
              <w:rPr>
                <w:sz w:val="24"/>
                <w:szCs w:val="24"/>
              </w:rPr>
            </w:pPr>
            <w:r>
              <w:rPr>
                <w:sz w:val="24"/>
                <w:szCs w:val="24"/>
              </w:rPr>
              <w:t>674</w:t>
            </w:r>
          </w:p>
        </w:tc>
        <w:tc>
          <w:tcPr>
            <w:tcW w:w="1530" w:type="dxa"/>
            <w:vAlign w:val="center"/>
          </w:tcPr>
          <w:p w:rsidR="00EA545B" w:rsidRPr="007A78FC" w:rsidRDefault="00EA545B" w:rsidP="00B40D61">
            <w:pPr>
              <w:pStyle w:val="NoSpacing"/>
              <w:spacing w:after="0"/>
              <w:jc w:val="center"/>
              <w:rPr>
                <w:sz w:val="24"/>
                <w:szCs w:val="24"/>
              </w:rPr>
            </w:pPr>
            <w:r>
              <w:rPr>
                <w:sz w:val="24"/>
                <w:szCs w:val="24"/>
              </w:rPr>
              <w:t>1,</w:t>
            </w:r>
            <w:r w:rsidR="000D31B5">
              <w:rPr>
                <w:sz w:val="24"/>
                <w:szCs w:val="24"/>
              </w:rPr>
              <w:t>3</w:t>
            </w:r>
            <w:r>
              <w:rPr>
                <w:sz w:val="24"/>
                <w:szCs w:val="24"/>
              </w:rPr>
              <w:t>4</w:t>
            </w:r>
            <w:r w:rsidR="000D31B5">
              <w:rPr>
                <w:sz w:val="24"/>
                <w:szCs w:val="24"/>
              </w:rPr>
              <w:t>8</w:t>
            </w:r>
          </w:p>
        </w:tc>
        <w:tc>
          <w:tcPr>
            <w:tcW w:w="1430" w:type="dxa"/>
            <w:vAlign w:val="center"/>
          </w:tcPr>
          <w:p w:rsidR="00EA545B" w:rsidRPr="007A78FC" w:rsidRDefault="000D31B5" w:rsidP="00B40D61">
            <w:pPr>
              <w:pStyle w:val="NoSpacing"/>
              <w:spacing w:after="0"/>
              <w:jc w:val="center"/>
              <w:rPr>
                <w:sz w:val="24"/>
                <w:szCs w:val="24"/>
              </w:rPr>
            </w:pPr>
            <w:r>
              <w:rPr>
                <w:sz w:val="24"/>
                <w:szCs w:val="24"/>
              </w:rPr>
              <w:t>67,4</w:t>
            </w:r>
            <w:r w:rsidR="00EA545B">
              <w:rPr>
                <w:sz w:val="24"/>
                <w:szCs w:val="24"/>
              </w:rPr>
              <w:t>2</w:t>
            </w:r>
            <w:r>
              <w:rPr>
                <w:sz w:val="24"/>
                <w:szCs w:val="24"/>
              </w:rPr>
              <w:t>0</w:t>
            </w:r>
          </w:p>
        </w:tc>
      </w:tr>
      <w:tr w:rsidR="00EA545B" w:rsidRPr="0038283C" w:rsidTr="00B40D61">
        <w:trPr>
          <w:cantSplit/>
          <w:trHeight w:val="377"/>
          <w:jc w:val="center"/>
        </w:trPr>
        <w:tc>
          <w:tcPr>
            <w:tcW w:w="2905" w:type="dxa"/>
            <w:vAlign w:val="center"/>
          </w:tcPr>
          <w:p w:rsidR="00EA545B" w:rsidRDefault="00EA545B" w:rsidP="00B40D61">
            <w:pPr>
              <w:pStyle w:val="NoSpacing"/>
              <w:spacing w:after="0"/>
              <w:rPr>
                <w:sz w:val="24"/>
                <w:szCs w:val="24"/>
              </w:rPr>
            </w:pPr>
            <w:r>
              <w:rPr>
                <w:sz w:val="24"/>
                <w:szCs w:val="24"/>
              </w:rPr>
              <w:t>Amortization</w:t>
            </w:r>
          </w:p>
        </w:tc>
        <w:tc>
          <w:tcPr>
            <w:tcW w:w="1440" w:type="dxa"/>
            <w:vAlign w:val="center"/>
          </w:tcPr>
          <w:p w:rsidR="00EA545B" w:rsidRDefault="00EA545B" w:rsidP="00B40D61">
            <w:pPr>
              <w:pStyle w:val="NoSpacing"/>
              <w:spacing w:after="0"/>
              <w:jc w:val="center"/>
              <w:rPr>
                <w:sz w:val="24"/>
                <w:szCs w:val="24"/>
                <w:u w:val="single"/>
              </w:rPr>
            </w:pPr>
            <w:r>
              <w:rPr>
                <w:sz w:val="24"/>
                <w:szCs w:val="24"/>
                <w:u w:val="single"/>
              </w:rPr>
              <w:t>--</w:t>
            </w:r>
          </w:p>
        </w:tc>
        <w:tc>
          <w:tcPr>
            <w:tcW w:w="1800" w:type="dxa"/>
            <w:vAlign w:val="center"/>
          </w:tcPr>
          <w:p w:rsidR="00EA545B" w:rsidRDefault="00EA545B" w:rsidP="00B40D61">
            <w:pPr>
              <w:pStyle w:val="NoSpacing"/>
              <w:spacing w:after="0"/>
              <w:jc w:val="center"/>
              <w:rPr>
                <w:sz w:val="24"/>
                <w:szCs w:val="24"/>
                <w:u w:val="single"/>
              </w:rPr>
            </w:pPr>
            <w:r>
              <w:rPr>
                <w:sz w:val="24"/>
                <w:szCs w:val="24"/>
                <w:u w:val="single"/>
              </w:rPr>
              <w:t>--</w:t>
            </w:r>
          </w:p>
        </w:tc>
        <w:tc>
          <w:tcPr>
            <w:tcW w:w="1440" w:type="dxa"/>
            <w:vAlign w:val="center"/>
          </w:tcPr>
          <w:p w:rsidR="00EA545B" w:rsidRDefault="00B221C6" w:rsidP="00B40D61">
            <w:pPr>
              <w:pStyle w:val="NoSpacing"/>
              <w:spacing w:after="0"/>
              <w:jc w:val="center"/>
              <w:rPr>
                <w:sz w:val="24"/>
                <w:szCs w:val="24"/>
                <w:u w:val="single"/>
              </w:rPr>
            </w:pPr>
            <w:r>
              <w:rPr>
                <w:sz w:val="24"/>
                <w:szCs w:val="24"/>
                <w:u w:val="single"/>
              </w:rPr>
              <w:t>138,264</w:t>
            </w:r>
          </w:p>
        </w:tc>
        <w:tc>
          <w:tcPr>
            <w:tcW w:w="1440" w:type="dxa"/>
            <w:vAlign w:val="center"/>
          </w:tcPr>
          <w:p w:rsidR="00EA545B" w:rsidRDefault="00B221C6" w:rsidP="00B40D61">
            <w:pPr>
              <w:pStyle w:val="NoSpacing"/>
              <w:spacing w:after="0"/>
              <w:jc w:val="center"/>
              <w:rPr>
                <w:sz w:val="24"/>
                <w:szCs w:val="24"/>
                <w:u w:val="single"/>
              </w:rPr>
            </w:pPr>
            <w:r>
              <w:rPr>
                <w:sz w:val="24"/>
                <w:szCs w:val="24"/>
                <w:u w:val="single"/>
              </w:rPr>
              <w:t>138,264</w:t>
            </w:r>
          </w:p>
        </w:tc>
        <w:tc>
          <w:tcPr>
            <w:tcW w:w="1655" w:type="dxa"/>
            <w:vAlign w:val="center"/>
          </w:tcPr>
          <w:p w:rsidR="00EA545B" w:rsidRPr="00FF439F" w:rsidRDefault="00B221C6" w:rsidP="00B40D61">
            <w:pPr>
              <w:pStyle w:val="NoSpacing"/>
              <w:spacing w:after="0"/>
              <w:jc w:val="center"/>
              <w:rPr>
                <w:sz w:val="24"/>
                <w:szCs w:val="24"/>
                <w:u w:val="single"/>
              </w:rPr>
            </w:pPr>
            <w:r>
              <w:rPr>
                <w:sz w:val="24"/>
                <w:szCs w:val="24"/>
                <w:u w:val="single"/>
              </w:rPr>
              <w:t>4,276</w:t>
            </w:r>
          </w:p>
        </w:tc>
        <w:tc>
          <w:tcPr>
            <w:tcW w:w="1530" w:type="dxa"/>
            <w:vAlign w:val="center"/>
          </w:tcPr>
          <w:p w:rsidR="00EA545B" w:rsidRPr="00FF439F" w:rsidRDefault="00EA545B" w:rsidP="00B40D61">
            <w:pPr>
              <w:pStyle w:val="NoSpacing"/>
              <w:spacing w:after="0"/>
              <w:jc w:val="center"/>
              <w:rPr>
                <w:sz w:val="24"/>
                <w:szCs w:val="24"/>
                <w:u w:val="single"/>
              </w:rPr>
            </w:pPr>
            <w:r>
              <w:rPr>
                <w:sz w:val="24"/>
                <w:szCs w:val="24"/>
                <w:u w:val="single"/>
              </w:rPr>
              <w:t>--</w:t>
            </w:r>
          </w:p>
        </w:tc>
        <w:tc>
          <w:tcPr>
            <w:tcW w:w="1530" w:type="dxa"/>
            <w:vAlign w:val="center"/>
          </w:tcPr>
          <w:p w:rsidR="00EA545B" w:rsidRPr="00FF439F" w:rsidRDefault="00B221C6" w:rsidP="00B40D61">
            <w:pPr>
              <w:pStyle w:val="NoSpacing"/>
              <w:spacing w:after="0"/>
              <w:jc w:val="center"/>
              <w:rPr>
                <w:sz w:val="24"/>
                <w:szCs w:val="24"/>
                <w:u w:val="single"/>
              </w:rPr>
            </w:pPr>
            <w:r>
              <w:rPr>
                <w:sz w:val="24"/>
                <w:szCs w:val="24"/>
                <w:u w:val="single"/>
              </w:rPr>
              <w:t>4,276</w:t>
            </w:r>
          </w:p>
        </w:tc>
        <w:tc>
          <w:tcPr>
            <w:tcW w:w="1430" w:type="dxa"/>
            <w:vAlign w:val="center"/>
          </w:tcPr>
          <w:p w:rsidR="00EA545B" w:rsidRPr="00FF439F" w:rsidRDefault="00B221C6" w:rsidP="00B40D61">
            <w:pPr>
              <w:pStyle w:val="NoSpacing"/>
              <w:spacing w:after="0"/>
              <w:jc w:val="center"/>
              <w:rPr>
                <w:sz w:val="24"/>
                <w:szCs w:val="24"/>
                <w:u w:val="single"/>
              </w:rPr>
            </w:pPr>
            <w:r>
              <w:rPr>
                <w:sz w:val="24"/>
                <w:szCs w:val="24"/>
                <w:u w:val="single"/>
              </w:rPr>
              <w:t>142,540</w:t>
            </w:r>
          </w:p>
        </w:tc>
      </w:tr>
      <w:tr w:rsidR="00EA545B" w:rsidRPr="0038283C" w:rsidTr="00B40D61">
        <w:trPr>
          <w:cantSplit/>
          <w:trHeight w:val="467"/>
          <w:jc w:val="center"/>
        </w:trPr>
        <w:tc>
          <w:tcPr>
            <w:tcW w:w="2905" w:type="dxa"/>
            <w:vAlign w:val="center"/>
          </w:tcPr>
          <w:p w:rsidR="00EA545B" w:rsidRPr="000259AD" w:rsidRDefault="00EA545B" w:rsidP="00B40D61">
            <w:pPr>
              <w:pStyle w:val="NoSpacing"/>
              <w:spacing w:after="0"/>
              <w:rPr>
                <w:sz w:val="24"/>
                <w:szCs w:val="24"/>
              </w:rPr>
            </w:pPr>
            <w:r w:rsidRPr="000259AD">
              <w:rPr>
                <w:sz w:val="24"/>
                <w:szCs w:val="24"/>
              </w:rPr>
              <w:t>TOTAL EXPENSES</w:t>
            </w:r>
          </w:p>
        </w:tc>
        <w:tc>
          <w:tcPr>
            <w:tcW w:w="1440" w:type="dxa"/>
            <w:vAlign w:val="center"/>
          </w:tcPr>
          <w:p w:rsidR="00EA545B" w:rsidRPr="00FF439F" w:rsidRDefault="00EA545B" w:rsidP="00B40D61">
            <w:pPr>
              <w:pStyle w:val="NoSpacing"/>
              <w:spacing w:after="0"/>
              <w:jc w:val="center"/>
              <w:rPr>
                <w:sz w:val="24"/>
                <w:szCs w:val="24"/>
                <w:u w:val="double"/>
              </w:rPr>
            </w:pPr>
            <w:r w:rsidRPr="00FF439F">
              <w:rPr>
                <w:sz w:val="24"/>
                <w:szCs w:val="24"/>
                <w:u w:val="double"/>
              </w:rPr>
              <w:t>$</w:t>
            </w:r>
            <w:r w:rsidR="00B221C6">
              <w:rPr>
                <w:sz w:val="24"/>
                <w:szCs w:val="24"/>
                <w:u w:val="double"/>
              </w:rPr>
              <w:t>8,804</w:t>
            </w:r>
            <w:r>
              <w:rPr>
                <w:sz w:val="24"/>
                <w:szCs w:val="24"/>
                <w:u w:val="double"/>
              </w:rPr>
              <w:t>,</w:t>
            </w:r>
            <w:r w:rsidR="00B221C6">
              <w:rPr>
                <w:sz w:val="24"/>
                <w:szCs w:val="24"/>
                <w:u w:val="double"/>
              </w:rPr>
              <w:t>7</w:t>
            </w:r>
            <w:r>
              <w:rPr>
                <w:sz w:val="24"/>
                <w:szCs w:val="24"/>
                <w:u w:val="double"/>
              </w:rPr>
              <w:t>8</w:t>
            </w:r>
            <w:r w:rsidR="00B221C6">
              <w:rPr>
                <w:sz w:val="24"/>
                <w:szCs w:val="24"/>
                <w:u w:val="double"/>
              </w:rPr>
              <w:t>9</w:t>
            </w:r>
          </w:p>
        </w:tc>
        <w:tc>
          <w:tcPr>
            <w:tcW w:w="1800" w:type="dxa"/>
            <w:vAlign w:val="center"/>
          </w:tcPr>
          <w:p w:rsidR="00EA545B" w:rsidRPr="00FF439F" w:rsidRDefault="00B221C6" w:rsidP="00B40D61">
            <w:pPr>
              <w:pStyle w:val="NoSpacing"/>
              <w:spacing w:after="0"/>
              <w:jc w:val="center"/>
              <w:rPr>
                <w:sz w:val="24"/>
                <w:szCs w:val="24"/>
                <w:u w:val="double"/>
              </w:rPr>
            </w:pPr>
            <w:r>
              <w:rPr>
                <w:sz w:val="24"/>
                <w:szCs w:val="24"/>
                <w:u w:val="double"/>
              </w:rPr>
              <w:t>$6,023,39</w:t>
            </w:r>
            <w:r w:rsidR="00EA545B">
              <w:rPr>
                <w:sz w:val="24"/>
                <w:szCs w:val="24"/>
                <w:u w:val="double"/>
              </w:rPr>
              <w:t>0</w:t>
            </w:r>
          </w:p>
        </w:tc>
        <w:tc>
          <w:tcPr>
            <w:tcW w:w="1440" w:type="dxa"/>
            <w:vAlign w:val="center"/>
          </w:tcPr>
          <w:p w:rsidR="00EA545B" w:rsidRPr="00FF439F" w:rsidRDefault="00B221C6" w:rsidP="00B40D61">
            <w:pPr>
              <w:pStyle w:val="NoSpacing"/>
              <w:spacing w:after="0"/>
              <w:jc w:val="center"/>
              <w:rPr>
                <w:sz w:val="24"/>
                <w:szCs w:val="24"/>
                <w:u w:val="double"/>
              </w:rPr>
            </w:pPr>
            <w:r>
              <w:rPr>
                <w:sz w:val="24"/>
                <w:szCs w:val="24"/>
                <w:u w:val="double"/>
              </w:rPr>
              <w:t>$5,229,</w:t>
            </w:r>
            <w:r w:rsidR="00EA545B">
              <w:rPr>
                <w:sz w:val="24"/>
                <w:szCs w:val="24"/>
                <w:u w:val="double"/>
              </w:rPr>
              <w:t>1</w:t>
            </w:r>
            <w:r>
              <w:rPr>
                <w:sz w:val="24"/>
                <w:szCs w:val="24"/>
                <w:u w:val="double"/>
              </w:rPr>
              <w:t>50</w:t>
            </w:r>
          </w:p>
        </w:tc>
        <w:tc>
          <w:tcPr>
            <w:tcW w:w="1440" w:type="dxa"/>
            <w:vAlign w:val="center"/>
          </w:tcPr>
          <w:p w:rsidR="00EA545B" w:rsidRPr="00FF439F" w:rsidRDefault="00B221C6" w:rsidP="00B40D61">
            <w:pPr>
              <w:pStyle w:val="NoSpacing"/>
              <w:spacing w:after="0"/>
              <w:jc w:val="center"/>
              <w:rPr>
                <w:sz w:val="24"/>
                <w:szCs w:val="24"/>
                <w:u w:val="double"/>
              </w:rPr>
            </w:pPr>
            <w:r>
              <w:rPr>
                <w:sz w:val="24"/>
                <w:szCs w:val="24"/>
                <w:u w:val="double"/>
              </w:rPr>
              <w:t>$20,057,329</w:t>
            </w:r>
          </w:p>
        </w:tc>
        <w:tc>
          <w:tcPr>
            <w:tcW w:w="1655" w:type="dxa"/>
            <w:vAlign w:val="center"/>
          </w:tcPr>
          <w:p w:rsidR="00EA545B" w:rsidRPr="00FF439F" w:rsidRDefault="00B221C6" w:rsidP="00B40D61">
            <w:pPr>
              <w:pStyle w:val="NoSpacing"/>
              <w:spacing w:after="0"/>
              <w:jc w:val="center"/>
              <w:rPr>
                <w:sz w:val="24"/>
                <w:szCs w:val="24"/>
                <w:u w:val="double"/>
              </w:rPr>
            </w:pPr>
            <w:r>
              <w:rPr>
                <w:sz w:val="24"/>
                <w:szCs w:val="24"/>
                <w:u w:val="double"/>
              </w:rPr>
              <w:t>$570,343</w:t>
            </w:r>
          </w:p>
        </w:tc>
        <w:tc>
          <w:tcPr>
            <w:tcW w:w="1530" w:type="dxa"/>
            <w:vAlign w:val="center"/>
          </w:tcPr>
          <w:p w:rsidR="00EA545B" w:rsidRPr="00FF439F" w:rsidRDefault="00B221C6" w:rsidP="00B40D61">
            <w:pPr>
              <w:pStyle w:val="NoSpacing"/>
              <w:spacing w:after="0"/>
              <w:jc w:val="center"/>
              <w:rPr>
                <w:sz w:val="24"/>
                <w:szCs w:val="24"/>
                <w:u w:val="double"/>
              </w:rPr>
            </w:pPr>
            <w:r>
              <w:rPr>
                <w:sz w:val="24"/>
                <w:szCs w:val="24"/>
                <w:u w:val="double"/>
              </w:rPr>
              <w:t>$1,5</w:t>
            </w:r>
            <w:r w:rsidR="00EA545B">
              <w:rPr>
                <w:sz w:val="24"/>
                <w:szCs w:val="24"/>
                <w:u w:val="double"/>
              </w:rPr>
              <w:t>2</w:t>
            </w:r>
            <w:r>
              <w:rPr>
                <w:sz w:val="24"/>
                <w:szCs w:val="24"/>
                <w:u w:val="double"/>
              </w:rPr>
              <w:t>9</w:t>
            </w:r>
            <w:r w:rsidR="00EA545B">
              <w:rPr>
                <w:sz w:val="24"/>
                <w:szCs w:val="24"/>
                <w:u w:val="double"/>
              </w:rPr>
              <w:t>,5</w:t>
            </w:r>
            <w:r>
              <w:rPr>
                <w:sz w:val="24"/>
                <w:szCs w:val="24"/>
                <w:u w:val="double"/>
              </w:rPr>
              <w:t>23</w:t>
            </w:r>
          </w:p>
        </w:tc>
        <w:tc>
          <w:tcPr>
            <w:tcW w:w="1530" w:type="dxa"/>
            <w:vAlign w:val="center"/>
          </w:tcPr>
          <w:p w:rsidR="00EA545B" w:rsidRPr="00FF439F" w:rsidRDefault="00B221C6" w:rsidP="00B40D61">
            <w:pPr>
              <w:pStyle w:val="NoSpacing"/>
              <w:spacing w:after="0"/>
              <w:jc w:val="center"/>
              <w:rPr>
                <w:sz w:val="24"/>
                <w:szCs w:val="24"/>
                <w:u w:val="double"/>
              </w:rPr>
            </w:pPr>
            <w:r>
              <w:rPr>
                <w:sz w:val="24"/>
                <w:szCs w:val="24"/>
                <w:u w:val="double"/>
              </w:rPr>
              <w:t>$2,099,866</w:t>
            </w:r>
          </w:p>
        </w:tc>
        <w:tc>
          <w:tcPr>
            <w:tcW w:w="1430" w:type="dxa"/>
            <w:vAlign w:val="center"/>
          </w:tcPr>
          <w:p w:rsidR="00EA545B" w:rsidRPr="00FF439F" w:rsidRDefault="00B221C6" w:rsidP="00B40D61">
            <w:pPr>
              <w:pStyle w:val="NoSpacing"/>
              <w:spacing w:after="0"/>
              <w:jc w:val="center"/>
              <w:rPr>
                <w:sz w:val="24"/>
                <w:szCs w:val="24"/>
                <w:u w:val="double"/>
              </w:rPr>
            </w:pPr>
            <w:r>
              <w:rPr>
                <w:sz w:val="24"/>
                <w:szCs w:val="24"/>
                <w:u w:val="double"/>
              </w:rPr>
              <w:t>$22,157,195</w:t>
            </w:r>
          </w:p>
        </w:tc>
      </w:tr>
    </w:tbl>
    <w:p w:rsidR="00EA545B" w:rsidRDefault="00EA545B" w:rsidP="00EA545B">
      <w:pPr>
        <w:pStyle w:val="NoSpacing"/>
      </w:pPr>
    </w:p>
    <w:p w:rsidR="00EA545B" w:rsidRDefault="00EA545B" w:rsidP="00EA545B">
      <w:pPr>
        <w:pStyle w:val="NoSpacing"/>
      </w:pPr>
    </w:p>
    <w:p w:rsidR="00EA545B" w:rsidRDefault="00EA545B" w:rsidP="00EA545B">
      <w:pPr>
        <w:sectPr w:rsidR="00EA545B" w:rsidSect="00B40D61">
          <w:pgSz w:w="15840" w:h="12240" w:orient="landscape"/>
          <w:pgMar w:top="720" w:right="720" w:bottom="720" w:left="720" w:header="720" w:footer="720" w:gutter="0"/>
          <w:cols w:space="720"/>
          <w:docGrid w:linePitch="381"/>
        </w:sectPr>
      </w:pPr>
      <w:r>
        <w:br w:type="page"/>
      </w:r>
    </w:p>
    <w:p w:rsidR="00EA545B" w:rsidRPr="00AC4AD6" w:rsidRDefault="00EA545B" w:rsidP="00EA545B">
      <w:pPr>
        <w:pStyle w:val="Heading2"/>
      </w:pPr>
      <w:bookmarkStart w:id="21" w:name="_Toc415727667"/>
      <w:r>
        <w:lastRenderedPageBreak/>
        <w:t xml:space="preserve">The </w:t>
      </w:r>
      <w:r w:rsidRPr="00652E2F">
        <w:t>National Federation of the Blind</w:t>
      </w:r>
      <w:bookmarkStart w:id="22" w:name="_Toc415727668"/>
      <w:bookmarkEnd w:id="21"/>
      <w:r>
        <w:br/>
      </w:r>
      <w:r w:rsidRPr="00652E2F">
        <w:t>T/A Blind Federation of Americ</w:t>
      </w:r>
      <w:bookmarkStart w:id="23" w:name="_Toc415727669"/>
      <w:bookmarkEnd w:id="22"/>
      <w:r>
        <w:t>a</w:t>
      </w:r>
      <w:r>
        <w:br/>
        <w:t xml:space="preserve">Consolidated </w:t>
      </w:r>
      <w:r w:rsidRPr="00652E2F">
        <w:t>Statement of Cash Flows</w:t>
      </w:r>
      <w:bookmarkStart w:id="24" w:name="_Toc415727670"/>
      <w:bookmarkEnd w:id="23"/>
      <w:r>
        <w:br/>
      </w:r>
      <w:r w:rsidRPr="00652E2F">
        <w:t>for the Year Ended December 31, 201</w:t>
      </w:r>
      <w:bookmarkEnd w:id="24"/>
      <w:r w:rsidR="00B221C6">
        <w:t>6</w:t>
      </w:r>
    </w:p>
    <w:p w:rsidR="00EA545B" w:rsidRPr="00AC4AD6" w:rsidRDefault="00EA545B" w:rsidP="00EA545B">
      <w:pPr>
        <w:pStyle w:val="Heading3"/>
      </w:pPr>
      <w:bookmarkStart w:id="25" w:name="_Toc415727671"/>
      <w:r w:rsidRPr="00AC4AD6">
        <w:t>CASH FLOWS FROM OPERATING ACTIVITIES</w:t>
      </w:r>
      <w:bookmarkEnd w:id="25"/>
    </w:p>
    <w:tbl>
      <w:tblPr>
        <w:tblStyle w:val="TableGrid"/>
        <w:tblW w:w="0" w:type="auto"/>
        <w:tblLook w:val="0640" w:firstRow="0" w:lastRow="1" w:firstColumn="0" w:lastColumn="0" w:noHBand="1" w:noVBand="1"/>
      </w:tblPr>
      <w:tblGrid>
        <w:gridCol w:w="6948"/>
        <w:gridCol w:w="2628"/>
      </w:tblGrid>
      <w:tr w:rsidR="00EA545B" w:rsidTr="00B40D61">
        <w:tc>
          <w:tcPr>
            <w:tcW w:w="6948" w:type="dxa"/>
            <w:vAlign w:val="bottom"/>
          </w:tcPr>
          <w:p w:rsidR="00EA545B" w:rsidRDefault="00EA545B" w:rsidP="00B40D61">
            <w:pPr>
              <w:pStyle w:val="NoSpacing"/>
              <w:spacing w:after="0"/>
            </w:pPr>
            <w:r w:rsidRPr="00AC4AD6">
              <w:t>Changes in net assets</w:t>
            </w:r>
          </w:p>
        </w:tc>
        <w:tc>
          <w:tcPr>
            <w:tcW w:w="2628" w:type="dxa"/>
            <w:vAlign w:val="center"/>
          </w:tcPr>
          <w:p w:rsidR="00EA545B" w:rsidRDefault="00EA545B" w:rsidP="00B40D61">
            <w:pPr>
              <w:pStyle w:val="NoSpacing"/>
              <w:spacing w:after="0"/>
              <w:jc w:val="right"/>
            </w:pPr>
            <w:r>
              <w:t>$</w:t>
            </w:r>
            <w:r w:rsidR="00B221C6">
              <w:t>2,330,495</w:t>
            </w:r>
          </w:p>
        </w:tc>
      </w:tr>
      <w:tr w:rsidR="00EA545B" w:rsidTr="00B40D61">
        <w:tc>
          <w:tcPr>
            <w:tcW w:w="6948" w:type="dxa"/>
            <w:vAlign w:val="bottom"/>
          </w:tcPr>
          <w:p w:rsidR="00EA545B" w:rsidRPr="00AC4AD6" w:rsidRDefault="00EA545B" w:rsidP="00B40D61">
            <w:pPr>
              <w:pStyle w:val="NoSpacing"/>
              <w:spacing w:after="0"/>
            </w:pPr>
            <w:r w:rsidRPr="00AC4AD6">
              <w:t>Adjustments to reconcile changes in net assets to net cash provided by operating activities</w:t>
            </w:r>
          </w:p>
        </w:tc>
        <w:tc>
          <w:tcPr>
            <w:tcW w:w="2628" w:type="dxa"/>
            <w:vAlign w:val="center"/>
          </w:tcPr>
          <w:p w:rsidR="00EA545B" w:rsidRDefault="00EA545B" w:rsidP="00B40D61">
            <w:pPr>
              <w:pStyle w:val="NoSpacing"/>
              <w:spacing w:after="0"/>
              <w:jc w:val="right"/>
            </w:pPr>
          </w:p>
        </w:tc>
      </w:tr>
      <w:tr w:rsidR="00EA545B" w:rsidTr="00B40D61">
        <w:tc>
          <w:tcPr>
            <w:tcW w:w="6948" w:type="dxa"/>
            <w:vAlign w:val="bottom"/>
          </w:tcPr>
          <w:p w:rsidR="00EA545B" w:rsidRDefault="00EA545B" w:rsidP="00B40D61">
            <w:pPr>
              <w:pStyle w:val="NoSpacing"/>
              <w:spacing w:after="0"/>
            </w:pPr>
            <w:r w:rsidRPr="00AC4AD6">
              <w:t>Depreciation</w:t>
            </w:r>
          </w:p>
        </w:tc>
        <w:tc>
          <w:tcPr>
            <w:tcW w:w="2628" w:type="dxa"/>
            <w:vAlign w:val="center"/>
          </w:tcPr>
          <w:p w:rsidR="00EA545B" w:rsidRDefault="00B221C6" w:rsidP="00B40D61">
            <w:pPr>
              <w:pStyle w:val="NoSpacing"/>
              <w:spacing w:after="0"/>
              <w:jc w:val="right"/>
            </w:pPr>
            <w:r>
              <w:t>67,420</w:t>
            </w:r>
          </w:p>
        </w:tc>
      </w:tr>
      <w:tr w:rsidR="00EA545B" w:rsidTr="00B40D61">
        <w:tc>
          <w:tcPr>
            <w:tcW w:w="6948" w:type="dxa"/>
            <w:vAlign w:val="bottom"/>
          </w:tcPr>
          <w:p w:rsidR="00EA545B" w:rsidRPr="00AC4AD6" w:rsidRDefault="00EA545B" w:rsidP="00B40D61">
            <w:pPr>
              <w:pStyle w:val="NoSpacing"/>
              <w:spacing w:after="0"/>
            </w:pPr>
            <w:r>
              <w:t>Amortization</w:t>
            </w:r>
          </w:p>
        </w:tc>
        <w:tc>
          <w:tcPr>
            <w:tcW w:w="2628" w:type="dxa"/>
            <w:vAlign w:val="center"/>
          </w:tcPr>
          <w:p w:rsidR="00EA545B" w:rsidRDefault="00B221C6" w:rsidP="00B40D61">
            <w:pPr>
              <w:pStyle w:val="NoSpacing"/>
              <w:spacing w:after="0"/>
              <w:jc w:val="right"/>
            </w:pPr>
            <w:r>
              <w:t>142,540</w:t>
            </w:r>
          </w:p>
        </w:tc>
      </w:tr>
      <w:tr w:rsidR="00EA545B" w:rsidTr="00B40D61">
        <w:tc>
          <w:tcPr>
            <w:tcW w:w="6948" w:type="dxa"/>
            <w:vAlign w:val="bottom"/>
          </w:tcPr>
          <w:p w:rsidR="00EA545B" w:rsidRDefault="00B221C6" w:rsidP="00B40D61">
            <w:pPr>
              <w:pStyle w:val="NoSpacing"/>
              <w:spacing w:after="0"/>
            </w:pPr>
            <w:r>
              <w:t>Unrealized gain</w:t>
            </w:r>
            <w:r w:rsidR="00EA545B">
              <w:t xml:space="preserve"> on investments</w:t>
            </w:r>
          </w:p>
        </w:tc>
        <w:tc>
          <w:tcPr>
            <w:tcW w:w="2628" w:type="dxa"/>
            <w:vAlign w:val="center"/>
          </w:tcPr>
          <w:p w:rsidR="00EA545B" w:rsidRDefault="00B221C6" w:rsidP="00B40D61">
            <w:pPr>
              <w:pStyle w:val="NoSpacing"/>
              <w:spacing w:after="0"/>
              <w:jc w:val="right"/>
            </w:pPr>
            <w:r>
              <w:t>(488,508)</w:t>
            </w:r>
          </w:p>
        </w:tc>
      </w:tr>
      <w:tr w:rsidR="00EA545B" w:rsidTr="00B40D61">
        <w:tc>
          <w:tcPr>
            <w:tcW w:w="6948" w:type="dxa"/>
            <w:vAlign w:val="bottom"/>
          </w:tcPr>
          <w:p w:rsidR="00EA545B" w:rsidRDefault="00EA545B" w:rsidP="00B40D61">
            <w:pPr>
              <w:pStyle w:val="NoSpacing"/>
              <w:spacing w:after="0"/>
            </w:pPr>
            <w:r>
              <w:t>Realized loss</w:t>
            </w:r>
            <w:r w:rsidRPr="00AC4AD6">
              <w:t xml:space="preserve"> on investments</w:t>
            </w:r>
          </w:p>
        </w:tc>
        <w:tc>
          <w:tcPr>
            <w:tcW w:w="2628" w:type="dxa"/>
            <w:vAlign w:val="center"/>
          </w:tcPr>
          <w:p w:rsidR="00EA545B" w:rsidRDefault="00B221C6" w:rsidP="00B40D61">
            <w:pPr>
              <w:pStyle w:val="NoSpacing"/>
              <w:spacing w:after="0"/>
              <w:jc w:val="right"/>
            </w:pPr>
            <w:r>
              <w:t>296,161</w:t>
            </w:r>
          </w:p>
        </w:tc>
      </w:tr>
      <w:tr w:rsidR="00EA545B" w:rsidTr="00B40D61">
        <w:tc>
          <w:tcPr>
            <w:tcW w:w="6948" w:type="dxa"/>
            <w:vAlign w:val="bottom"/>
          </w:tcPr>
          <w:p w:rsidR="00EA545B" w:rsidRDefault="00EA545B" w:rsidP="00B40D61">
            <w:pPr>
              <w:pStyle w:val="NoSpacing"/>
              <w:spacing w:after="0"/>
            </w:pPr>
            <w:r>
              <w:t>Net change in programmatic investments</w:t>
            </w:r>
          </w:p>
        </w:tc>
        <w:tc>
          <w:tcPr>
            <w:tcW w:w="2628" w:type="dxa"/>
            <w:vAlign w:val="center"/>
          </w:tcPr>
          <w:p w:rsidR="00EA545B" w:rsidRDefault="00B221C6" w:rsidP="00B40D61">
            <w:pPr>
              <w:pStyle w:val="NoSpacing"/>
              <w:spacing w:after="0"/>
              <w:jc w:val="right"/>
            </w:pPr>
            <w:r>
              <w:t>96,048</w:t>
            </w:r>
          </w:p>
        </w:tc>
      </w:tr>
      <w:tr w:rsidR="00EA545B" w:rsidTr="00B40D61">
        <w:tc>
          <w:tcPr>
            <w:tcW w:w="6948" w:type="dxa"/>
            <w:vAlign w:val="bottom"/>
          </w:tcPr>
          <w:p w:rsidR="00EA545B" w:rsidRPr="00AC4AD6" w:rsidRDefault="00EA545B" w:rsidP="00B40D61">
            <w:pPr>
              <w:pStyle w:val="NoSpacing"/>
              <w:spacing w:after="0"/>
            </w:pPr>
            <w:r>
              <w:t xml:space="preserve">Decrease (increase) in assets: </w:t>
            </w:r>
            <w:r w:rsidRPr="00AC4AD6">
              <w:t>Other receivables</w:t>
            </w:r>
          </w:p>
        </w:tc>
        <w:tc>
          <w:tcPr>
            <w:tcW w:w="2628" w:type="dxa"/>
            <w:vAlign w:val="center"/>
          </w:tcPr>
          <w:p w:rsidR="00EA545B" w:rsidRPr="00AC4AD6" w:rsidRDefault="00B221C6" w:rsidP="00B40D61">
            <w:pPr>
              <w:pStyle w:val="NoSpacing"/>
              <w:spacing w:after="0"/>
              <w:jc w:val="right"/>
            </w:pPr>
            <w:r>
              <w:t>(36,811</w:t>
            </w:r>
            <w:r w:rsidR="00EA545B">
              <w:t>)</w:t>
            </w:r>
          </w:p>
        </w:tc>
      </w:tr>
      <w:tr w:rsidR="00EA545B" w:rsidTr="00B40D61">
        <w:tc>
          <w:tcPr>
            <w:tcW w:w="6948" w:type="dxa"/>
            <w:vAlign w:val="bottom"/>
          </w:tcPr>
          <w:p w:rsidR="00EA545B" w:rsidRPr="00AC4AD6" w:rsidRDefault="00EA545B" w:rsidP="00B40D61">
            <w:pPr>
              <w:pStyle w:val="NoSpacing"/>
              <w:spacing w:after="0"/>
            </w:pPr>
            <w:r>
              <w:t>Decrease (increase) in assets: Prepaid expenses</w:t>
            </w:r>
          </w:p>
        </w:tc>
        <w:tc>
          <w:tcPr>
            <w:tcW w:w="2628" w:type="dxa"/>
            <w:vAlign w:val="center"/>
          </w:tcPr>
          <w:p w:rsidR="00EA545B" w:rsidRPr="00AC4AD6" w:rsidRDefault="00B221C6" w:rsidP="00B40D61">
            <w:pPr>
              <w:pStyle w:val="NoSpacing"/>
              <w:spacing w:after="0"/>
              <w:jc w:val="right"/>
            </w:pPr>
            <w:r>
              <w:t>58,660</w:t>
            </w:r>
          </w:p>
        </w:tc>
      </w:tr>
      <w:tr w:rsidR="00EA545B" w:rsidTr="00B40D61">
        <w:tc>
          <w:tcPr>
            <w:tcW w:w="6948" w:type="dxa"/>
            <w:vAlign w:val="bottom"/>
          </w:tcPr>
          <w:p w:rsidR="00EA545B" w:rsidRPr="00AC4AD6" w:rsidRDefault="00EA545B" w:rsidP="00B40D61">
            <w:pPr>
              <w:pStyle w:val="NoSpacing"/>
              <w:spacing w:after="0"/>
            </w:pPr>
            <w:r w:rsidRPr="00AC4AD6">
              <w:t>Increase (decrease) in liabilities:</w:t>
            </w:r>
            <w:r>
              <w:t xml:space="preserve"> </w:t>
            </w:r>
            <w:r w:rsidRPr="00AC4AD6">
              <w:t>Accounts payable and accrued expenses</w:t>
            </w:r>
          </w:p>
        </w:tc>
        <w:tc>
          <w:tcPr>
            <w:tcW w:w="2628" w:type="dxa"/>
            <w:vAlign w:val="center"/>
          </w:tcPr>
          <w:p w:rsidR="00EA545B" w:rsidRPr="0064346C" w:rsidRDefault="00B221C6" w:rsidP="00B40D61">
            <w:pPr>
              <w:pStyle w:val="NoSpacing"/>
              <w:spacing w:after="0"/>
              <w:jc w:val="right"/>
            </w:pPr>
            <w:r>
              <w:t>(19,9</w:t>
            </w:r>
            <w:r w:rsidR="00EA545B">
              <w:t>54</w:t>
            </w:r>
            <w:r>
              <w:t>)</w:t>
            </w:r>
          </w:p>
        </w:tc>
      </w:tr>
      <w:tr w:rsidR="00EA545B" w:rsidTr="00B40D61">
        <w:tc>
          <w:tcPr>
            <w:tcW w:w="6948" w:type="dxa"/>
            <w:vAlign w:val="bottom"/>
          </w:tcPr>
          <w:p w:rsidR="00EA545B" w:rsidRPr="00AC4AD6" w:rsidRDefault="00EA545B" w:rsidP="00B40D61">
            <w:pPr>
              <w:pStyle w:val="NoSpacing"/>
              <w:spacing w:after="0"/>
            </w:pPr>
            <w:r w:rsidRPr="00AC4AD6">
              <w:t>Increase (decrease) in liabilities:</w:t>
            </w:r>
            <w:r>
              <w:t xml:space="preserve"> Deferred revenue</w:t>
            </w:r>
          </w:p>
        </w:tc>
        <w:tc>
          <w:tcPr>
            <w:tcW w:w="2628" w:type="dxa"/>
            <w:vAlign w:val="center"/>
          </w:tcPr>
          <w:p w:rsidR="00EA545B" w:rsidRPr="0064346C" w:rsidRDefault="00B221C6" w:rsidP="00B40D61">
            <w:pPr>
              <w:pStyle w:val="NoSpacing"/>
              <w:spacing w:after="0"/>
              <w:jc w:val="right"/>
              <w:rPr>
                <w:u w:val="single"/>
              </w:rPr>
            </w:pPr>
            <w:r>
              <w:rPr>
                <w:u w:val="single"/>
              </w:rPr>
              <w:t>(44</w:t>
            </w:r>
            <w:r w:rsidR="00EA545B" w:rsidRPr="0064346C">
              <w:rPr>
                <w:u w:val="single"/>
              </w:rPr>
              <w:t>,138</w:t>
            </w:r>
            <w:r>
              <w:rPr>
                <w:u w:val="single"/>
              </w:rPr>
              <w:t>)</w:t>
            </w:r>
          </w:p>
        </w:tc>
      </w:tr>
      <w:tr w:rsidR="00EA545B" w:rsidTr="00B40D61">
        <w:trPr>
          <w:trHeight w:val="647"/>
        </w:trPr>
        <w:tc>
          <w:tcPr>
            <w:tcW w:w="6948" w:type="dxa"/>
            <w:vAlign w:val="center"/>
          </w:tcPr>
          <w:p w:rsidR="00EA545B" w:rsidRPr="00AC4AD6" w:rsidRDefault="00EA545B" w:rsidP="00B40D61">
            <w:pPr>
              <w:pStyle w:val="NoSpacing"/>
              <w:spacing w:after="0"/>
            </w:pPr>
            <w:r w:rsidRPr="00AC4AD6">
              <w:t>NET CASH PROVIDED BY OPERATING ACTIVITIES</w:t>
            </w:r>
          </w:p>
        </w:tc>
        <w:tc>
          <w:tcPr>
            <w:tcW w:w="2628" w:type="dxa"/>
            <w:vAlign w:val="center"/>
          </w:tcPr>
          <w:p w:rsidR="00EA545B" w:rsidRPr="00CF5992" w:rsidRDefault="00B221C6" w:rsidP="00B40D61">
            <w:pPr>
              <w:pStyle w:val="NoSpacing"/>
              <w:spacing w:after="0"/>
              <w:jc w:val="right"/>
              <w:rPr>
                <w:u w:val="single"/>
              </w:rPr>
            </w:pPr>
            <w:r>
              <w:rPr>
                <w:u w:val="single"/>
              </w:rPr>
              <w:t>2,401,913</w:t>
            </w:r>
          </w:p>
        </w:tc>
      </w:tr>
    </w:tbl>
    <w:p w:rsidR="00EA545B" w:rsidRPr="00AC4AD6" w:rsidRDefault="00EA545B" w:rsidP="00EA545B">
      <w:pPr>
        <w:pStyle w:val="Heading3"/>
      </w:pPr>
      <w:bookmarkStart w:id="26" w:name="_Toc415727672"/>
      <w:r w:rsidRPr="00AC4AD6">
        <w:t>CASH FLOWS FROM INVESTING ACTIVITIES</w:t>
      </w:r>
      <w:bookmarkEnd w:id="26"/>
    </w:p>
    <w:tbl>
      <w:tblPr>
        <w:tblStyle w:val="TableGrid"/>
        <w:tblW w:w="0" w:type="auto"/>
        <w:tblLook w:val="0640" w:firstRow="0" w:lastRow="1" w:firstColumn="0" w:lastColumn="0" w:noHBand="1" w:noVBand="1"/>
      </w:tblPr>
      <w:tblGrid>
        <w:gridCol w:w="6948"/>
        <w:gridCol w:w="2628"/>
      </w:tblGrid>
      <w:tr w:rsidR="00EA545B" w:rsidTr="00B40D61">
        <w:tc>
          <w:tcPr>
            <w:tcW w:w="6948" w:type="dxa"/>
            <w:vAlign w:val="center"/>
          </w:tcPr>
          <w:p w:rsidR="00EA545B" w:rsidRDefault="00B221C6" w:rsidP="00B40D61">
            <w:pPr>
              <w:pStyle w:val="NoSpacing"/>
              <w:spacing w:after="0"/>
            </w:pPr>
            <w:r>
              <w:t>Cash paid for</w:t>
            </w:r>
            <w:r w:rsidR="00EA545B" w:rsidRPr="00AC4AD6">
              <w:t xml:space="preserve"> investments</w:t>
            </w:r>
          </w:p>
        </w:tc>
        <w:tc>
          <w:tcPr>
            <w:tcW w:w="2628" w:type="dxa"/>
            <w:vAlign w:val="center"/>
          </w:tcPr>
          <w:p w:rsidR="00EA545B" w:rsidRDefault="00B221C6" w:rsidP="00B40D61">
            <w:pPr>
              <w:pStyle w:val="NoSpacing"/>
              <w:spacing w:after="0"/>
              <w:jc w:val="right"/>
            </w:pPr>
            <w:r>
              <w:t>(2,6</w:t>
            </w:r>
            <w:r w:rsidR="00EA545B">
              <w:t>9</w:t>
            </w:r>
            <w:r>
              <w:t>0,7</w:t>
            </w:r>
            <w:r w:rsidR="00EA545B">
              <w:t>5</w:t>
            </w:r>
            <w:r>
              <w:t>2</w:t>
            </w:r>
            <w:r w:rsidR="00EA545B">
              <w:t>)</w:t>
            </w:r>
          </w:p>
        </w:tc>
      </w:tr>
      <w:tr w:rsidR="00EA545B" w:rsidTr="00B40D61">
        <w:tc>
          <w:tcPr>
            <w:tcW w:w="6948" w:type="dxa"/>
            <w:vAlign w:val="center"/>
          </w:tcPr>
          <w:p w:rsidR="00EA545B" w:rsidRDefault="00B221C6" w:rsidP="00B40D61">
            <w:pPr>
              <w:pStyle w:val="NoSpacing"/>
              <w:spacing w:after="0"/>
            </w:pPr>
            <w:r>
              <w:t>P</w:t>
            </w:r>
            <w:r w:rsidR="00EA545B" w:rsidRPr="00AC4AD6">
              <w:t>roceeds from the sale of investments</w:t>
            </w:r>
          </w:p>
        </w:tc>
        <w:tc>
          <w:tcPr>
            <w:tcW w:w="2628" w:type="dxa"/>
            <w:vAlign w:val="center"/>
          </w:tcPr>
          <w:p w:rsidR="00EA545B" w:rsidRDefault="00B221C6" w:rsidP="00B40D61">
            <w:pPr>
              <w:pStyle w:val="NoSpacing"/>
              <w:spacing w:after="0"/>
              <w:jc w:val="right"/>
            </w:pPr>
            <w:r>
              <w:t>2,421,539</w:t>
            </w:r>
          </w:p>
        </w:tc>
      </w:tr>
      <w:tr w:rsidR="00EA545B" w:rsidTr="00B40D61">
        <w:tc>
          <w:tcPr>
            <w:tcW w:w="6948" w:type="dxa"/>
            <w:vAlign w:val="center"/>
          </w:tcPr>
          <w:p w:rsidR="00EA545B" w:rsidRDefault="00B221C6" w:rsidP="00B40D61">
            <w:pPr>
              <w:pStyle w:val="NoSpacing"/>
              <w:spacing w:after="0"/>
            </w:pPr>
            <w:r>
              <w:t>Payments received</w:t>
            </w:r>
            <w:r w:rsidR="00EA545B" w:rsidRPr="00AC4AD6">
              <w:t xml:space="preserve"> on notes receivable</w:t>
            </w:r>
          </w:p>
        </w:tc>
        <w:tc>
          <w:tcPr>
            <w:tcW w:w="2628" w:type="dxa"/>
            <w:vAlign w:val="center"/>
          </w:tcPr>
          <w:p w:rsidR="00EA545B" w:rsidRDefault="00B221C6" w:rsidP="00B40D61">
            <w:pPr>
              <w:pStyle w:val="NoSpacing"/>
              <w:spacing w:after="0"/>
              <w:jc w:val="right"/>
            </w:pPr>
            <w:r>
              <w:t>3,936</w:t>
            </w:r>
          </w:p>
        </w:tc>
      </w:tr>
      <w:tr w:rsidR="00EA545B" w:rsidTr="00B40D61">
        <w:tc>
          <w:tcPr>
            <w:tcW w:w="6948" w:type="dxa"/>
            <w:vAlign w:val="center"/>
          </w:tcPr>
          <w:p w:rsidR="00EA545B" w:rsidRDefault="00B221C6" w:rsidP="00B40D61">
            <w:pPr>
              <w:pStyle w:val="NoSpacing"/>
              <w:spacing w:after="0"/>
            </w:pPr>
            <w:r>
              <w:t>Capital expenditures paid in cash</w:t>
            </w:r>
          </w:p>
        </w:tc>
        <w:tc>
          <w:tcPr>
            <w:tcW w:w="2628" w:type="dxa"/>
            <w:vAlign w:val="center"/>
          </w:tcPr>
          <w:p w:rsidR="00EA545B" w:rsidRDefault="00B221C6" w:rsidP="00B40D61">
            <w:pPr>
              <w:pStyle w:val="NoSpacing"/>
              <w:spacing w:after="0"/>
              <w:jc w:val="right"/>
            </w:pPr>
            <w:r>
              <w:t>(24,000)</w:t>
            </w:r>
          </w:p>
        </w:tc>
      </w:tr>
      <w:tr w:rsidR="00EA545B" w:rsidTr="00B40D61">
        <w:trPr>
          <w:trHeight w:val="395"/>
        </w:trPr>
        <w:tc>
          <w:tcPr>
            <w:tcW w:w="6948" w:type="dxa"/>
            <w:vAlign w:val="center"/>
          </w:tcPr>
          <w:p w:rsidR="00EA545B" w:rsidRDefault="00EA545B" w:rsidP="00B40D61">
            <w:pPr>
              <w:pStyle w:val="NoSpacing"/>
              <w:spacing w:after="0"/>
            </w:pPr>
            <w:r w:rsidRPr="00AC4AD6">
              <w:t>NET CASH USED BY INVESTING ACTIVITIES</w:t>
            </w:r>
          </w:p>
        </w:tc>
        <w:tc>
          <w:tcPr>
            <w:tcW w:w="2628" w:type="dxa"/>
            <w:vAlign w:val="center"/>
          </w:tcPr>
          <w:p w:rsidR="00EA545B" w:rsidRPr="00CF5992" w:rsidRDefault="00005FCE" w:rsidP="00B40D61">
            <w:pPr>
              <w:pStyle w:val="NoSpacing"/>
              <w:spacing w:after="0"/>
              <w:jc w:val="right"/>
              <w:rPr>
                <w:u w:val="single"/>
              </w:rPr>
            </w:pPr>
            <w:r>
              <w:rPr>
                <w:u w:val="single"/>
              </w:rPr>
              <w:t>(289,277</w:t>
            </w:r>
            <w:r w:rsidR="00EA545B">
              <w:rPr>
                <w:u w:val="single"/>
              </w:rPr>
              <w:t>)</w:t>
            </w:r>
          </w:p>
        </w:tc>
      </w:tr>
    </w:tbl>
    <w:p w:rsidR="00EA545B" w:rsidRDefault="00EA545B" w:rsidP="00EA545B">
      <w:pPr>
        <w:pStyle w:val="NoSpacing"/>
      </w:pPr>
    </w:p>
    <w:tbl>
      <w:tblPr>
        <w:tblStyle w:val="TableGrid"/>
        <w:tblW w:w="0" w:type="auto"/>
        <w:tblLook w:val="04A0" w:firstRow="1" w:lastRow="0" w:firstColumn="1" w:lastColumn="0" w:noHBand="0" w:noVBand="1"/>
      </w:tblPr>
      <w:tblGrid>
        <w:gridCol w:w="6948"/>
        <w:gridCol w:w="2628"/>
      </w:tblGrid>
      <w:tr w:rsidR="00EA545B" w:rsidTr="00B40D61">
        <w:trPr>
          <w:trHeight w:val="540"/>
        </w:trPr>
        <w:tc>
          <w:tcPr>
            <w:tcW w:w="6948" w:type="dxa"/>
            <w:vAlign w:val="center"/>
          </w:tcPr>
          <w:p w:rsidR="00EA545B" w:rsidRDefault="00EA545B" w:rsidP="00B40D61">
            <w:pPr>
              <w:pStyle w:val="NoSpacing"/>
              <w:spacing w:after="0"/>
            </w:pPr>
            <w:r w:rsidRPr="00AC632D">
              <w:t>NET CHANGE IN CASH AND CASH EQUIVALENTS</w:t>
            </w:r>
          </w:p>
        </w:tc>
        <w:tc>
          <w:tcPr>
            <w:tcW w:w="2628" w:type="dxa"/>
            <w:vAlign w:val="center"/>
          </w:tcPr>
          <w:p w:rsidR="00EA545B" w:rsidRDefault="00005FCE" w:rsidP="00005FCE">
            <w:pPr>
              <w:pStyle w:val="NoSpacing"/>
              <w:spacing w:after="0"/>
              <w:jc w:val="right"/>
            </w:pPr>
            <w:r>
              <w:t>2,112,636</w:t>
            </w:r>
          </w:p>
        </w:tc>
      </w:tr>
      <w:tr w:rsidR="00EA545B" w:rsidTr="00B40D61">
        <w:trPr>
          <w:trHeight w:val="810"/>
        </w:trPr>
        <w:tc>
          <w:tcPr>
            <w:tcW w:w="6948" w:type="dxa"/>
            <w:vAlign w:val="center"/>
          </w:tcPr>
          <w:p w:rsidR="00EA545B" w:rsidRDefault="00EA545B" w:rsidP="00B40D61">
            <w:pPr>
              <w:pStyle w:val="NoSpacing"/>
              <w:spacing w:after="0"/>
            </w:pPr>
            <w:r w:rsidRPr="00AC632D">
              <w:t>CASH AND CASH EQUIVALENTS – BEGINNING OF YEAR</w:t>
            </w:r>
          </w:p>
        </w:tc>
        <w:tc>
          <w:tcPr>
            <w:tcW w:w="2628" w:type="dxa"/>
            <w:vAlign w:val="center"/>
          </w:tcPr>
          <w:p w:rsidR="00EA545B" w:rsidRPr="00CF5992" w:rsidRDefault="00005FCE" w:rsidP="00B40D61">
            <w:pPr>
              <w:pStyle w:val="NoSpacing"/>
              <w:spacing w:after="0"/>
              <w:jc w:val="right"/>
              <w:rPr>
                <w:u w:val="single"/>
              </w:rPr>
            </w:pPr>
            <w:r>
              <w:rPr>
                <w:u w:val="single"/>
              </w:rPr>
              <w:t>2,846,801</w:t>
            </w:r>
          </w:p>
        </w:tc>
      </w:tr>
      <w:tr w:rsidR="00EA545B" w:rsidRPr="001653FB" w:rsidTr="00B40D61">
        <w:trPr>
          <w:trHeight w:val="549"/>
        </w:trPr>
        <w:tc>
          <w:tcPr>
            <w:tcW w:w="6948" w:type="dxa"/>
            <w:vAlign w:val="center"/>
          </w:tcPr>
          <w:p w:rsidR="00EA545B" w:rsidRDefault="00EA545B" w:rsidP="00B40D61">
            <w:pPr>
              <w:pStyle w:val="NoSpacing"/>
              <w:spacing w:after="0"/>
            </w:pPr>
            <w:r w:rsidRPr="00AC632D">
              <w:t>CASH AND CASH EQUIVALENTS – END OF YEAR</w:t>
            </w:r>
          </w:p>
        </w:tc>
        <w:tc>
          <w:tcPr>
            <w:tcW w:w="2628" w:type="dxa"/>
            <w:vAlign w:val="center"/>
          </w:tcPr>
          <w:p w:rsidR="00EA545B" w:rsidRPr="00CF5992" w:rsidRDefault="00005FCE" w:rsidP="00B40D61">
            <w:pPr>
              <w:pStyle w:val="NoSpacing"/>
              <w:spacing w:after="0"/>
              <w:jc w:val="right"/>
              <w:rPr>
                <w:u w:val="double"/>
              </w:rPr>
            </w:pPr>
            <w:r>
              <w:rPr>
                <w:u w:val="double"/>
              </w:rPr>
              <w:t>$4,959,437</w:t>
            </w:r>
          </w:p>
        </w:tc>
      </w:tr>
    </w:tbl>
    <w:p w:rsidR="00EA545B" w:rsidRPr="004C1A2B" w:rsidRDefault="00EA545B" w:rsidP="00EA545B"/>
    <w:p w:rsidR="00EA545B" w:rsidRDefault="00EA545B" w:rsidP="00EA545B">
      <w:pPr>
        <w:pStyle w:val="Heading2"/>
      </w:pPr>
      <w:bookmarkStart w:id="27" w:name="_Toc415727674"/>
      <w:r w:rsidRPr="004C1A2B">
        <w:rPr>
          <w:color w:val="363636"/>
        </w:rPr>
        <w:lastRenderedPageBreak/>
        <w:t>T</w:t>
      </w:r>
      <w:r w:rsidRPr="004C1A2B">
        <w:t>he Nationa</w:t>
      </w:r>
      <w:r w:rsidRPr="004C1A2B">
        <w:rPr>
          <w:color w:val="363636"/>
        </w:rPr>
        <w:t>l F</w:t>
      </w:r>
      <w:r w:rsidRPr="004C1A2B">
        <w:t>ed</w:t>
      </w:r>
      <w:r w:rsidRPr="004C1A2B">
        <w:rPr>
          <w:color w:val="363636"/>
        </w:rPr>
        <w:t>e</w:t>
      </w:r>
      <w:r w:rsidRPr="004C1A2B">
        <w:t xml:space="preserve">ration Of </w:t>
      </w:r>
      <w:r w:rsidRPr="004C1A2B">
        <w:rPr>
          <w:color w:val="363636"/>
        </w:rPr>
        <w:t>Th</w:t>
      </w:r>
      <w:r w:rsidRPr="004C1A2B">
        <w:t>e B</w:t>
      </w:r>
      <w:r w:rsidRPr="004C1A2B">
        <w:rPr>
          <w:color w:val="363636"/>
        </w:rPr>
        <w:t>li</w:t>
      </w:r>
      <w:r w:rsidRPr="004C1A2B">
        <w:t>n</w:t>
      </w:r>
      <w:bookmarkStart w:id="28" w:name="_Toc415727675"/>
      <w:bookmarkEnd w:id="27"/>
      <w:r>
        <w:t>d</w:t>
      </w:r>
      <w:r>
        <w:br/>
      </w:r>
      <w:r w:rsidRPr="004C1A2B">
        <w:t>T/A Blind Federation Of America</w:t>
      </w:r>
      <w:bookmarkStart w:id="29" w:name="_Toc415727676"/>
      <w:bookmarkEnd w:id="28"/>
      <w:r>
        <w:br/>
      </w:r>
      <w:r w:rsidRPr="004C1A2B">
        <w:t>N</w:t>
      </w:r>
      <w:r w:rsidRPr="004C1A2B">
        <w:rPr>
          <w:color w:val="363636"/>
        </w:rPr>
        <w:t>o</w:t>
      </w:r>
      <w:r w:rsidRPr="004C1A2B">
        <w:t>t</w:t>
      </w:r>
      <w:r w:rsidRPr="004C1A2B">
        <w:rPr>
          <w:color w:val="363636"/>
        </w:rPr>
        <w:t>e</w:t>
      </w:r>
      <w:r w:rsidRPr="004C1A2B">
        <w:t xml:space="preserve">s To </w:t>
      </w:r>
      <w:r>
        <w:t xml:space="preserve">Consolidated </w:t>
      </w:r>
      <w:r w:rsidRPr="004C1A2B">
        <w:t>Financia</w:t>
      </w:r>
      <w:r w:rsidRPr="004C1A2B">
        <w:rPr>
          <w:color w:val="363636"/>
        </w:rPr>
        <w:t xml:space="preserve">l </w:t>
      </w:r>
      <w:r w:rsidRPr="004C1A2B">
        <w:t>Stat</w:t>
      </w:r>
      <w:r w:rsidRPr="004C1A2B">
        <w:rPr>
          <w:color w:val="363636"/>
        </w:rPr>
        <w:t>e</w:t>
      </w:r>
      <w:r w:rsidRPr="004C1A2B">
        <w:rPr>
          <w:color w:val="0A0A0A"/>
        </w:rPr>
        <w:t>m</w:t>
      </w:r>
      <w:r w:rsidRPr="004C1A2B">
        <w:rPr>
          <w:color w:val="363636"/>
        </w:rPr>
        <w:t>e</w:t>
      </w:r>
      <w:r w:rsidRPr="004C1A2B">
        <w:rPr>
          <w:color w:val="0A0A0A"/>
        </w:rPr>
        <w:t>n</w:t>
      </w:r>
      <w:r w:rsidRPr="004C1A2B">
        <w:rPr>
          <w:color w:val="363636"/>
        </w:rPr>
        <w:t>ts</w:t>
      </w:r>
      <w:bookmarkStart w:id="30" w:name="_Toc415727677"/>
      <w:bookmarkEnd w:id="29"/>
      <w:r>
        <w:br/>
      </w:r>
      <w:r w:rsidRPr="004C1A2B">
        <w:t>December 31</w:t>
      </w:r>
      <w:r w:rsidRPr="004C1A2B">
        <w:rPr>
          <w:color w:val="4C4C4C"/>
        </w:rPr>
        <w:t xml:space="preserve">, </w:t>
      </w:r>
      <w:r w:rsidRPr="004C1A2B">
        <w:t>201</w:t>
      </w:r>
      <w:bookmarkEnd w:id="30"/>
      <w:r w:rsidR="00A04B76">
        <w:t>6</w:t>
      </w:r>
    </w:p>
    <w:p w:rsidR="00EA545B" w:rsidRPr="00376A2B" w:rsidRDefault="00EA545B" w:rsidP="00EA545B"/>
    <w:p w:rsidR="00EA545B" w:rsidRPr="004C1A2B" w:rsidRDefault="00EA545B" w:rsidP="00EA545B">
      <w:pPr>
        <w:pStyle w:val="Heading3"/>
      </w:pPr>
      <w:bookmarkStart w:id="31" w:name="_Toc415727678"/>
      <w:r w:rsidRPr="004C1A2B">
        <w:t>NOTE 1 - NATURE OF THE ORGANIZATION AND SUMMARY OF SIGNIFICANT ACCOUNTING POLICIES</w:t>
      </w:r>
      <w:bookmarkEnd w:id="31"/>
    </w:p>
    <w:p w:rsidR="00EA545B" w:rsidRPr="004C1A2B" w:rsidRDefault="00EA545B" w:rsidP="00EA545B">
      <w:pPr>
        <w:pStyle w:val="Heading4"/>
      </w:pPr>
      <w:bookmarkStart w:id="32" w:name="_Toc415727679"/>
      <w:r w:rsidRPr="004C1A2B">
        <w:t>Nature of the Organization</w:t>
      </w:r>
      <w:bookmarkEnd w:id="32"/>
    </w:p>
    <w:p w:rsidR="00EA545B" w:rsidRPr="00DA7F59" w:rsidRDefault="00EA545B" w:rsidP="00EA545B">
      <w:pPr>
        <w:autoSpaceDE w:val="0"/>
        <w:autoSpaceDN w:val="0"/>
        <w:adjustRightInd w:val="0"/>
        <w:spacing w:after="240"/>
      </w:pPr>
      <w:r w:rsidRPr="00DA7F59">
        <w:t>The National Federation of the Blind T/A Blind Federation of America (NFB), headquartered in Baltimore, Maryland, is a nonprofit corporation established for the purpose of integrating the blind into society on the basis of equality.</w:t>
      </w:r>
    </w:p>
    <w:p w:rsidR="00EA545B" w:rsidRPr="00DA7F59" w:rsidRDefault="00EA545B" w:rsidP="00EA545B">
      <w:pPr>
        <w:autoSpaceDE w:val="0"/>
        <w:autoSpaceDN w:val="0"/>
        <w:adjustRightInd w:val="0"/>
        <w:spacing w:after="240"/>
      </w:pPr>
      <w:r w:rsidRPr="00DA7F59">
        <w:t xml:space="preserve">KNFB Reader, LLC (KNFB) was established in 2014 </w:t>
      </w:r>
      <w:r w:rsidR="00A04B76">
        <w:t xml:space="preserve">as a wholly-owned subsidiary of </w:t>
      </w:r>
      <w:r w:rsidRPr="00DA7F59">
        <w:t xml:space="preserve">NFB. KNFB was formed to acquire, further develop, and market software applications (apps) to be of assistance and benefit to blind persons, in further pursuit of the purpose of the NFB. </w:t>
      </w:r>
    </w:p>
    <w:p w:rsidR="00EA545B" w:rsidRDefault="00EA545B" w:rsidP="00EA545B">
      <w:pPr>
        <w:pStyle w:val="Heading4"/>
      </w:pPr>
      <w:r>
        <w:t>Consolidation</w:t>
      </w:r>
    </w:p>
    <w:p w:rsidR="00EA545B" w:rsidRPr="00F46AEC" w:rsidRDefault="00EA545B" w:rsidP="00EA545B">
      <w:r>
        <w:t xml:space="preserve">In accordance with the Consolidation topic of the Financial Accounting Standards Board (FASB) Accounting Standards Codification, all wholly-owned entities are to be consolidated with the parent entity. These consolidated financial statements include the accounts of the NFB and KNFB (collectively the “Federation”). All significant intercompany balances and transactions have been eliminated in the consolidation of these financial statements. </w:t>
      </w:r>
    </w:p>
    <w:p w:rsidR="00EA545B" w:rsidRPr="004C1A2B" w:rsidRDefault="00EA545B" w:rsidP="00EA545B">
      <w:pPr>
        <w:pStyle w:val="Heading4"/>
      </w:pPr>
      <w:bookmarkStart w:id="33" w:name="_Toc415727680"/>
      <w:r w:rsidRPr="004C1A2B">
        <w:t>Bas</w:t>
      </w:r>
      <w:r w:rsidRPr="004C1A2B">
        <w:rPr>
          <w:color w:val="1D1D1D"/>
        </w:rPr>
        <w:t>i</w:t>
      </w:r>
      <w:r w:rsidRPr="004C1A2B">
        <w:t xml:space="preserve">s </w:t>
      </w:r>
      <w:r w:rsidRPr="004C1A2B">
        <w:rPr>
          <w:color w:val="1D1D1D"/>
        </w:rPr>
        <w:t>of Pr</w:t>
      </w:r>
      <w:r w:rsidRPr="004C1A2B">
        <w:t>e</w:t>
      </w:r>
      <w:r w:rsidRPr="004C1A2B">
        <w:rPr>
          <w:color w:val="1D1D1D"/>
        </w:rPr>
        <w:t>s</w:t>
      </w:r>
      <w:r w:rsidRPr="004C1A2B">
        <w:t>e</w:t>
      </w:r>
      <w:r w:rsidRPr="004C1A2B">
        <w:rPr>
          <w:color w:val="1D1D1D"/>
        </w:rPr>
        <w:t>n</w:t>
      </w:r>
      <w:r w:rsidRPr="004C1A2B">
        <w:t>tat</w:t>
      </w:r>
      <w:r w:rsidRPr="004C1A2B">
        <w:rPr>
          <w:color w:val="1D1D1D"/>
        </w:rPr>
        <w:t>i</w:t>
      </w:r>
      <w:r w:rsidRPr="004C1A2B">
        <w:t>on</w:t>
      </w:r>
      <w:bookmarkEnd w:id="33"/>
    </w:p>
    <w:p w:rsidR="00EA545B" w:rsidRPr="00DA7F59" w:rsidRDefault="00EA545B" w:rsidP="00EA545B">
      <w:pPr>
        <w:autoSpaceDE w:val="0"/>
        <w:autoSpaceDN w:val="0"/>
        <w:adjustRightInd w:val="0"/>
        <w:spacing w:after="240"/>
      </w:pPr>
      <w:r w:rsidRPr="00DA7F59">
        <w:t xml:space="preserve">The Federation’s consolidated financial statements are prepared on the accrual method of accounting, which recognizes revenues and the related assets when earned, and expenses and the related liabilities when obligations are incurred. </w:t>
      </w:r>
    </w:p>
    <w:p w:rsidR="00EA545B" w:rsidRPr="00DA7F59" w:rsidRDefault="00EA545B" w:rsidP="00EA545B">
      <w:pPr>
        <w:autoSpaceDE w:val="0"/>
        <w:autoSpaceDN w:val="0"/>
        <w:adjustRightInd w:val="0"/>
        <w:spacing w:after="240"/>
      </w:pPr>
      <w:r w:rsidRPr="00DA7F59">
        <w:t xml:space="preserve">The Federation follows the Presentation of Financial Statements for Not-for-Profit Entities topic of the FASB Accounting Standards Codification. This pronouncement sets standards for the financial statement presentation for not-for-profit organizations. The Federation is required to report information regarding its financial position and activities according to three (3) classes of net assets: unrestricted net </w:t>
      </w:r>
      <w:proofErr w:type="gramStart"/>
      <w:r w:rsidRPr="00DA7F59">
        <w:t>assets,</w:t>
      </w:r>
      <w:proofErr w:type="gramEnd"/>
      <w:r w:rsidRPr="00DA7F59">
        <w:t xml:space="preserve"> temporarily restricted net assets and permanently restricted net assets.</w:t>
      </w:r>
    </w:p>
    <w:p w:rsidR="00EA545B" w:rsidRPr="00DA7F59" w:rsidRDefault="00EA545B" w:rsidP="00EA545B">
      <w:pPr>
        <w:autoSpaceDE w:val="0"/>
        <w:autoSpaceDN w:val="0"/>
        <w:adjustRightInd w:val="0"/>
        <w:spacing w:after="240"/>
      </w:pPr>
      <w:r w:rsidRPr="00DA7F59">
        <w:lastRenderedPageBreak/>
        <w:t>Temporarily restricted net assets include scholarship funds and other funds where the donor has restricted that the income and the corpus be used for scholarships and other specific purpose</w:t>
      </w:r>
      <w:r w:rsidR="00A04B76">
        <w:t>s, based on donor-imposed stipulations that either expire with the passage of time or can be fulfilled by actions of the Federation</w:t>
      </w:r>
      <w:r w:rsidRPr="00DA7F59">
        <w:t xml:space="preserve">. In addition, </w:t>
      </w:r>
      <w:r w:rsidR="00A04B76">
        <w:t>the Federation includes grants where all of the funds are restricted</w:t>
      </w:r>
      <w:r w:rsidR="00EC16C4">
        <w:t xml:space="preserve"> for a specific use in temporarily restricted net assets. T</w:t>
      </w:r>
      <w:r w:rsidRPr="00DA7F59">
        <w:t>he Federation has elected to treat temporarily restricted revenue spent in the same year as unrestricted revenue.</w:t>
      </w:r>
    </w:p>
    <w:p w:rsidR="00EA545B" w:rsidRPr="00DA7F59" w:rsidRDefault="00EA545B" w:rsidP="00EA545B">
      <w:pPr>
        <w:autoSpaceDE w:val="0"/>
        <w:autoSpaceDN w:val="0"/>
        <w:adjustRightInd w:val="0"/>
        <w:spacing w:after="240"/>
      </w:pPr>
      <w:r w:rsidRPr="00DA7F59">
        <w:t>Permanently restricted net assets include scholarship funds, where the donor has restricted that only the income may be used for scholarships and that the corpus may not be invaded. The income for the current year</w:t>
      </w:r>
      <w:r w:rsidR="00EC16C4">
        <w:t xml:space="preserve"> in the restricted funds that i</w:t>
      </w:r>
      <w:r w:rsidRPr="00DA7F59">
        <w:t>s</w:t>
      </w:r>
      <w:r w:rsidR="00EC16C4">
        <w:t xml:space="preserve"> not</w:t>
      </w:r>
      <w:r w:rsidRPr="00DA7F59">
        <w:t xml:space="preserve"> fully util</w:t>
      </w:r>
      <w:r w:rsidR="00EC16C4">
        <w:t xml:space="preserve">ized for its specific purpose is transferred to temporarily </w:t>
      </w:r>
      <w:proofErr w:type="gramStart"/>
      <w:r w:rsidR="00EC16C4">
        <w:t>restricted</w:t>
      </w:r>
      <w:proofErr w:type="gramEnd"/>
      <w:r w:rsidR="00EC16C4">
        <w:t xml:space="preserve"> net assets until</w:t>
      </w:r>
      <w:r w:rsidRPr="00DA7F59">
        <w:t xml:space="preserve"> fulfillment of restrictions. The Federation has elected to treat current year earn</w:t>
      </w:r>
      <w:r w:rsidR="00EC16C4">
        <w:t>ings on restricted funds that are fully utilized for their</w:t>
      </w:r>
      <w:r w:rsidRPr="00DA7F59">
        <w:t xml:space="preserve"> specific purpose in the same year as unrestricted revenue.</w:t>
      </w:r>
    </w:p>
    <w:p w:rsidR="00EA545B" w:rsidRPr="004C1A2B" w:rsidRDefault="00EA545B" w:rsidP="00EA545B">
      <w:pPr>
        <w:pStyle w:val="Heading4"/>
        <w:rPr>
          <w:color w:val="1D1D1D"/>
        </w:rPr>
      </w:pPr>
      <w:bookmarkStart w:id="34" w:name="_Toc415727681"/>
      <w:r w:rsidRPr="004C1A2B">
        <w:t>Re</w:t>
      </w:r>
      <w:r w:rsidRPr="004C1A2B">
        <w:rPr>
          <w:color w:val="1D1D1D"/>
        </w:rPr>
        <w:t>v</w:t>
      </w:r>
      <w:r w:rsidRPr="004C1A2B">
        <w:t>en</w:t>
      </w:r>
      <w:r w:rsidRPr="004C1A2B">
        <w:rPr>
          <w:color w:val="1D1D1D"/>
        </w:rPr>
        <w:t>u</w:t>
      </w:r>
      <w:r w:rsidRPr="004C1A2B">
        <w:t>e Rec</w:t>
      </w:r>
      <w:r w:rsidRPr="004C1A2B">
        <w:rPr>
          <w:color w:val="1D1D1D"/>
        </w:rPr>
        <w:t>ogni</w:t>
      </w:r>
      <w:r w:rsidRPr="004C1A2B">
        <w:t>tio</w:t>
      </w:r>
      <w:r w:rsidRPr="004C1A2B">
        <w:rPr>
          <w:color w:val="1D1D1D"/>
        </w:rPr>
        <w:t>n</w:t>
      </w:r>
      <w:bookmarkEnd w:id="34"/>
    </w:p>
    <w:p w:rsidR="00EA545B" w:rsidRPr="00DA7F59" w:rsidRDefault="00EA545B" w:rsidP="00EA545B">
      <w:pPr>
        <w:autoSpaceDE w:val="0"/>
        <w:autoSpaceDN w:val="0"/>
        <w:adjustRightInd w:val="0"/>
        <w:spacing w:after="240"/>
      </w:pPr>
      <w:r w:rsidRPr="00DA7F59">
        <w:t>The Federation has adopted the Revenue Recognition for Not-for-Profit Entities topic of the FASB Accounting Standards Codification. In accordance with this standard, contributions received are recorded as unrestricted, temporarily restricted or permanently restricted support. All contributions are considered to be available for unrestricted use unless specifically restricted, either temporarily or permanently, by the donor.</w:t>
      </w:r>
    </w:p>
    <w:p w:rsidR="00EA545B" w:rsidRPr="00DA7F59" w:rsidRDefault="00EA545B" w:rsidP="00EA545B">
      <w:pPr>
        <w:autoSpaceDE w:val="0"/>
        <w:autoSpaceDN w:val="0"/>
        <w:adjustRightInd w:val="0"/>
        <w:spacing w:after="240"/>
      </w:pPr>
      <w:r w:rsidRPr="00DA7F59">
        <w:t>Contract services relate to fee-for-service arrangements. Under these contracts, the Federation receives fees payable monthly, quarterly, or based on specific services provided. Contract services are recognized on a monthly or quarterly straight-line basis, over the course of the period specified in the contract.</w:t>
      </w:r>
    </w:p>
    <w:p w:rsidR="00EA545B" w:rsidRPr="00DA7F59" w:rsidRDefault="00EA545B" w:rsidP="00EA545B">
      <w:pPr>
        <w:autoSpaceDE w:val="0"/>
        <w:autoSpaceDN w:val="0"/>
        <w:adjustRightInd w:val="0"/>
        <w:spacing w:after="240"/>
      </w:pPr>
      <w:r w:rsidRPr="00DA7F59">
        <w:t xml:space="preserve">Government grants include monies received from government agencies in support </w:t>
      </w:r>
      <w:r w:rsidR="00EC16C4">
        <w:t>of specific program activities. T</w:t>
      </w:r>
      <w:r>
        <w:t>hese grants</w:t>
      </w:r>
      <w:r w:rsidR="00EC16C4">
        <w:t xml:space="preserve"> serve as reimbursements of program costs incurred by the Federation. </w:t>
      </w:r>
      <w:r w:rsidRPr="00DA7F59">
        <w:t>Revenue is recognized when there is reasonable assurance that the Federation has complied with the requirements of the grants and receipt of funds is reasonably assured.</w:t>
      </w:r>
      <w:r w:rsidR="00EC16C4">
        <w:t xml:space="preserve"> </w:t>
      </w:r>
    </w:p>
    <w:p w:rsidR="00EA545B" w:rsidRDefault="00EA545B" w:rsidP="00EA545B">
      <w:pPr>
        <w:pStyle w:val="NoSpacing"/>
      </w:pPr>
      <w:r>
        <w:t xml:space="preserve">The Federation sells independence products and publications as a part of its mission to help blind individuals increase their independence and carry out daily activities. Revenue is recognized at the point of sale and is reported net of sales returns and allowances. </w:t>
      </w:r>
    </w:p>
    <w:p w:rsidR="00EA545B" w:rsidRPr="00AC4AD6" w:rsidRDefault="00EA545B" w:rsidP="00EA545B">
      <w:pPr>
        <w:pStyle w:val="Heading4"/>
      </w:pPr>
      <w:bookmarkStart w:id="35" w:name="_Toc415727682"/>
      <w:r>
        <w:lastRenderedPageBreak/>
        <w:t>Use of Estimates</w:t>
      </w:r>
      <w:bookmarkEnd w:id="35"/>
    </w:p>
    <w:p w:rsidR="00EA545B" w:rsidRDefault="00EA545B" w:rsidP="00EA545B">
      <w:pPr>
        <w:spacing w:after="240"/>
      </w:pPr>
      <w:r>
        <w:t xml:space="preserve">The preparation of </w:t>
      </w:r>
      <w:r w:rsidR="00E65D07">
        <w:t xml:space="preserve">consolidated </w:t>
      </w:r>
      <w:r>
        <w:t xml:space="preserve">financial statements in conformity with accounting principles generally accepted in the United States of America requires management to make estimates and assumptions that affect the reported amounts of assets and liabilities and disclosure of contingent assets and liabilities at the date of the </w:t>
      </w:r>
      <w:r w:rsidR="00E65D07">
        <w:t xml:space="preserve">consolidated </w:t>
      </w:r>
      <w:r>
        <w:t>financial statements and the reported amounts of revenue and expenses during the reporting period. Actual results could differ from those estimates.</w:t>
      </w:r>
    </w:p>
    <w:p w:rsidR="00EA545B" w:rsidRDefault="00EA545B" w:rsidP="00EA545B">
      <w:pPr>
        <w:pStyle w:val="Heading4"/>
      </w:pPr>
      <w:bookmarkStart w:id="36" w:name="_Toc415727683"/>
      <w:r>
        <w:t>Cash and Cash Equivalents</w:t>
      </w:r>
      <w:bookmarkEnd w:id="36"/>
    </w:p>
    <w:p w:rsidR="00EA545B" w:rsidRDefault="00EA545B" w:rsidP="00EA545B">
      <w:pPr>
        <w:spacing w:after="240"/>
      </w:pPr>
      <w:r>
        <w:t>For purposes of reporting cash flows, the Federation considers all highly liquid investments purchased with an original maturity of three (3) months or less to be a cash equivalent.</w:t>
      </w:r>
    </w:p>
    <w:p w:rsidR="00EA545B" w:rsidRDefault="00EA545B" w:rsidP="00EA545B">
      <w:pPr>
        <w:pStyle w:val="Heading4"/>
      </w:pPr>
      <w:bookmarkStart w:id="37" w:name="_Toc415727684"/>
      <w:r>
        <w:t>Financial Credit Risk</w:t>
      </w:r>
      <w:bookmarkEnd w:id="37"/>
    </w:p>
    <w:p w:rsidR="00EA545B" w:rsidRDefault="00EA545B" w:rsidP="00EA545B">
      <w:pPr>
        <w:spacing w:after="240"/>
      </w:pPr>
      <w:r>
        <w:t>The Federation maintains its cash balances at several financial institutions. The balances are insured by the Federal Deposit Insurance Corporation (FDIC) up to insured</w:t>
      </w:r>
      <w:r w:rsidR="00E65D07">
        <w:t xml:space="preserve"> limits. As of December 31, 2016</w:t>
      </w:r>
      <w:r>
        <w:t>, the Federation's cash balances were in excess of these insured limits. Management believes that the Federation is not exposed to any significant credit risk with respect to its cash balances. In addition, the Federation generally maintains investment balances in excess of the Securities Investor Protection Corporation (SIPC) limits.</w:t>
      </w:r>
    </w:p>
    <w:p w:rsidR="00EA545B" w:rsidRDefault="00EA545B" w:rsidP="00EA545B">
      <w:pPr>
        <w:spacing w:after="240"/>
      </w:pPr>
      <w:r>
        <w:t>The Federation invests in various investment securities. Investment securities are exposed to various risks such as interest rate, market and credit risks. Due to the level of risk associated with certain investment securities, it is at least reasonably possible that changes in the value of investment securities will occur in the near term and those changes could materially affect the value reported in the</w:t>
      </w:r>
      <w:r w:rsidR="00E65D07">
        <w:t xml:space="preserve"> consolidated</w:t>
      </w:r>
      <w:r>
        <w:t xml:space="preserve"> financial statements.</w:t>
      </w:r>
    </w:p>
    <w:p w:rsidR="00EA545B" w:rsidRDefault="00EA545B" w:rsidP="00EA545B">
      <w:pPr>
        <w:pStyle w:val="Heading4"/>
      </w:pPr>
      <w:bookmarkStart w:id="38" w:name="_Toc415727685"/>
      <w:r>
        <w:t>Notes Receivable</w:t>
      </w:r>
      <w:bookmarkEnd w:id="38"/>
    </w:p>
    <w:p w:rsidR="00EA545B" w:rsidRDefault="00EA545B" w:rsidP="00EA545B">
      <w:pPr>
        <w:pStyle w:val="NoSpacing"/>
      </w:pPr>
      <w:r w:rsidRPr="00AC4AD6">
        <w:t xml:space="preserve">Balances in notes receivable represent loans to organizations and individuals who support the Federation's mission of encouraging independence and supporting entrepreneurship among the blind. Interest is recognized over the term of the loan and is calculated using the simple-interest method on principal amounts outstanding. Management evaluates the creditworthiness of each borrower prior to the issuance of these loans. Past due accounts are determined by management based on historical experience and other relevant factors. On a periodic basis, the </w:t>
      </w:r>
      <w:r w:rsidRPr="00AC4AD6">
        <w:lastRenderedPageBreak/>
        <w:t>Federation writes off uncollectible balances, after exhausting reasonable collection efforts. Based on management's historical experience, management considers all notes receivable to be fully collectible; therefore, no allowance for doubtful accounts has been reflected in the financial statements.</w:t>
      </w:r>
    </w:p>
    <w:p w:rsidR="00EA545B" w:rsidRDefault="00EA545B" w:rsidP="00EA545B">
      <w:pPr>
        <w:pStyle w:val="Heading4"/>
      </w:pPr>
      <w:bookmarkStart w:id="39" w:name="_Toc415727686"/>
      <w:r>
        <w:t>Other Receivables</w:t>
      </w:r>
      <w:bookmarkEnd w:id="39"/>
    </w:p>
    <w:p w:rsidR="00EA545B" w:rsidRDefault="00EA545B" w:rsidP="00EA545B">
      <w:pPr>
        <w:pStyle w:val="NoSpacing"/>
      </w:pPr>
      <w:r w:rsidRPr="00AC4AD6">
        <w:t>Other receivables represent monies due from granto</w:t>
      </w:r>
      <w:r>
        <w:t xml:space="preserve">rs and other third parties and amounts related to KNFB Reader sales. The </w:t>
      </w:r>
      <w:r w:rsidRPr="00AC4AD6">
        <w:t xml:space="preserve">Federation considers various factors as of the date of the </w:t>
      </w:r>
      <w:r w:rsidR="00E65D07">
        <w:t xml:space="preserve">consolidated </w:t>
      </w:r>
      <w:r w:rsidRPr="00AC4AD6">
        <w:t>financial statements in evaluating the credit quality of these balances, including historical collection experience and assessment of the counterparties' ability to repay their obligations. Based on these factors, management considers other receivables to be fully collectible; therefore, no allowance for doubtful accounts has been reflect</w:t>
      </w:r>
      <w:r>
        <w:t xml:space="preserve">ed in the </w:t>
      </w:r>
      <w:r w:rsidR="00E65D07">
        <w:t xml:space="preserve">consolidated </w:t>
      </w:r>
      <w:r>
        <w:t>financial statements.</w:t>
      </w:r>
    </w:p>
    <w:p w:rsidR="00EA545B" w:rsidRPr="00996EB2" w:rsidRDefault="00EA545B" w:rsidP="00EA545B">
      <w:pPr>
        <w:pStyle w:val="Heading4"/>
      </w:pPr>
      <w:bookmarkStart w:id="40" w:name="_Toc415727687"/>
      <w:r>
        <w:t>Investments</w:t>
      </w:r>
      <w:bookmarkEnd w:id="40"/>
    </w:p>
    <w:p w:rsidR="00EA545B" w:rsidRPr="00AC4AD6" w:rsidRDefault="00EA545B" w:rsidP="00EA545B">
      <w:pPr>
        <w:pStyle w:val="NoSpacing"/>
      </w:pPr>
      <w:r w:rsidRPr="00AC4AD6">
        <w:t>The Federation's investment portfolio is classified as trading and is reported at its fair value, based on quoted ma</w:t>
      </w:r>
      <w:r w:rsidR="00E00C2A">
        <w:t>rket prices at December 31, 2016</w:t>
      </w:r>
      <w:r w:rsidRPr="00AC4AD6">
        <w:t xml:space="preserve">.  Realized and unrealized holding gains and losses on trading securities with readily determinable market values are included in investment income in the </w:t>
      </w:r>
      <w:r w:rsidR="00E00C2A">
        <w:t xml:space="preserve">consolidated </w:t>
      </w:r>
      <w:r w:rsidRPr="00AC4AD6">
        <w:t>statements of activities. Included in the investm</w:t>
      </w:r>
      <w:r w:rsidR="00E00C2A">
        <w:t>ent balance at December 31, 2016</w:t>
      </w:r>
      <w:r w:rsidRPr="00AC4AD6">
        <w:t xml:space="preserve"> is $237,468 of permanently restricted funds. These funds </w:t>
      </w:r>
      <w:r w:rsidR="00E00C2A">
        <w:t>are to be used for scholarships</w:t>
      </w:r>
      <w:r w:rsidRPr="00AC4AD6">
        <w:t xml:space="preserve"> as designated by the donor.</w:t>
      </w:r>
    </w:p>
    <w:p w:rsidR="00EA545B" w:rsidRDefault="00EA545B" w:rsidP="00EA545B">
      <w:pPr>
        <w:pStyle w:val="NoSpacing"/>
      </w:pPr>
      <w:r w:rsidRPr="00AC4AD6">
        <w:t>Alternative investments are recorded under the equity or cost methods of accounting, as appropriate, in accordance with Investments – Equity and Joint Ventures Investments topic of the FASB Accounting Standards Codification. When the Federation owns less than a 20% interest and does not exert significant influence over the investment entity, the Federation applies the cost method of accounting. Under the cost method, any dividends received are recognized as investment income and a gain or loss is only reported when the investment is sold. When the Federation has a controlling interest and can exert significant influence, the Federation applies the equity method of accounting</w:t>
      </w:r>
      <w:r>
        <w:t xml:space="preserve">. </w:t>
      </w:r>
      <w:r w:rsidRPr="00AC4AD6">
        <w:t xml:space="preserve">Under the equity method of accounting, the Federation increases its investments for cash contributions and its share of the investee’s net income and decreases its investments for cash distributions and its share of the investee’s net loss. The fair value of these investments has not been estimated because it is not practicable to estimate fair value on these investments. See </w:t>
      </w:r>
      <w:r w:rsidR="00E00C2A">
        <w:t>Note 6</w:t>
      </w:r>
      <w:r>
        <w:t xml:space="preserve"> for a discussion of alternative investments and </w:t>
      </w:r>
      <w:r w:rsidR="00E00C2A">
        <w:t>Note 7</w:t>
      </w:r>
      <w:r w:rsidRPr="00AC4AD6">
        <w:t xml:space="preserve"> for a discussion of fair value measurements.</w:t>
      </w:r>
    </w:p>
    <w:p w:rsidR="00EA545B" w:rsidRPr="005D7260" w:rsidRDefault="00EA545B" w:rsidP="00EA545B">
      <w:pPr>
        <w:pStyle w:val="Heading4"/>
      </w:pPr>
      <w:bookmarkStart w:id="41" w:name="_Toc415727690"/>
      <w:r>
        <w:lastRenderedPageBreak/>
        <w:t>Property and Eq</w:t>
      </w:r>
      <w:r w:rsidRPr="005D7260">
        <w:t>uipment</w:t>
      </w:r>
      <w:bookmarkEnd w:id="41"/>
    </w:p>
    <w:p w:rsidR="00EA545B" w:rsidRDefault="00EA545B" w:rsidP="00EA545B">
      <w:pPr>
        <w:autoSpaceDE w:val="0"/>
        <w:autoSpaceDN w:val="0"/>
        <w:adjustRightInd w:val="0"/>
        <w:spacing w:after="240"/>
      </w:pPr>
      <w:r>
        <w:t>Property and equipment i</w:t>
      </w:r>
      <w:r w:rsidRPr="005D7260">
        <w:t>s recorded at cost, net of accumulated de</w:t>
      </w:r>
      <w:r>
        <w:t xml:space="preserve">preciation. Major additions and </w:t>
      </w:r>
      <w:r w:rsidRPr="0098161F">
        <w:rPr>
          <w:bCs/>
        </w:rPr>
        <w:t>betterments are charged to the asset accounts while maintenance and repairs which do not improve or</w:t>
      </w:r>
      <w:r>
        <w:t xml:space="preserve"> </w:t>
      </w:r>
      <w:r w:rsidRPr="005D7260">
        <w:t>extend the lives o</w:t>
      </w:r>
      <w:r>
        <w:t xml:space="preserve">f the assets are expensed when incurred. Contributed property is recorded at fair value </w:t>
      </w:r>
      <w:r w:rsidRPr="005D7260">
        <w:t xml:space="preserve">at the date of </w:t>
      </w:r>
      <w:r>
        <w:t xml:space="preserve">donation. </w:t>
      </w:r>
      <w:r w:rsidR="00E00C2A">
        <w:t>Upon the sale or other disposition of assets, t</w:t>
      </w:r>
      <w:r>
        <w:t>he</w:t>
      </w:r>
      <w:r w:rsidR="00E00C2A">
        <w:t xml:space="preserve"> cost and</w:t>
      </w:r>
      <w:r>
        <w:t xml:space="preserve"> rel</w:t>
      </w:r>
      <w:r w:rsidR="00E00C2A">
        <w:t>ated accumulated depreciation are remov</w:t>
      </w:r>
      <w:r>
        <w:t>ed from the</w:t>
      </w:r>
      <w:r w:rsidR="00E00C2A">
        <w:t xml:space="preserve"> respective</w:t>
      </w:r>
      <w:r>
        <w:t xml:space="preserve"> a</w:t>
      </w:r>
      <w:r w:rsidR="00E00C2A">
        <w:t>ccounts, and any resulting gain or loss</w:t>
      </w:r>
      <w:r>
        <w:t xml:space="preserve"> are included in operations. Depreciation expense i</w:t>
      </w:r>
      <w:r w:rsidRPr="005D7260">
        <w:t>s</w:t>
      </w:r>
      <w:r>
        <w:t xml:space="preserve"> calculated using the straight-l</w:t>
      </w:r>
      <w:r w:rsidRPr="005D7260">
        <w:t xml:space="preserve">ine method </w:t>
      </w:r>
      <w:r w:rsidRPr="0098161F">
        <w:rPr>
          <w:iCs/>
        </w:rPr>
        <w:t xml:space="preserve">over </w:t>
      </w:r>
      <w:r>
        <w:t xml:space="preserve">the </w:t>
      </w:r>
      <w:r w:rsidRPr="005D7260">
        <w:t>estimated useful lives of the respective assets.</w:t>
      </w:r>
    </w:p>
    <w:p w:rsidR="00EA545B" w:rsidRDefault="00EA545B" w:rsidP="00EA545B">
      <w:pPr>
        <w:pStyle w:val="Heading4"/>
      </w:pPr>
      <w:r>
        <w:t>Intangible Assets</w:t>
      </w:r>
    </w:p>
    <w:p w:rsidR="00EA545B" w:rsidRDefault="00EA545B" w:rsidP="00EA545B">
      <w:r>
        <w:t>In accordance with the topic Intangibles – Goodwill and Other of the FASB Accounting Standards Codification, identified intangible assets other than goodwill are amortized over their</w:t>
      </w:r>
      <w:r w:rsidR="00E00C2A">
        <w:t xml:space="preserve"> estimated</w:t>
      </w:r>
      <w:r>
        <w:t xml:space="preserve"> useful lives. Definite-lived intangible assets are amortized using the straight-line method over their estimated period of benefit. Management estimates the estimated useful lives range from sixteen (16) to thirty (30) years. </w:t>
      </w:r>
      <w:r w:rsidR="00E00C2A">
        <w:t>See Note 4.</w:t>
      </w:r>
    </w:p>
    <w:p w:rsidR="00EA545B" w:rsidRDefault="00EA545B" w:rsidP="00EA545B"/>
    <w:p w:rsidR="00EA545B" w:rsidRPr="0019204C" w:rsidRDefault="00EA545B" w:rsidP="00EA545B">
      <w:r>
        <w:t xml:space="preserve">The Federation makes certain estimates and assumptions in order to determine the fair value of net assets and liabilities, including, among other things, an assessment of market conditions, projected cash flows, </w:t>
      </w:r>
      <w:proofErr w:type="gramStart"/>
      <w:r>
        <w:t>cost</w:t>
      </w:r>
      <w:proofErr w:type="gramEnd"/>
      <w:r>
        <w:t xml:space="preserve"> of capital and growth rates, which could significantly impact the reported value of intangible assets. Estimating future cash flows requires significant judgment and the projections may vary from cash flows eventually realized. No indicators of im</w:t>
      </w:r>
      <w:r w:rsidR="00E00C2A">
        <w:t>pairment were identified in 2016</w:t>
      </w:r>
      <w:r>
        <w:t xml:space="preserve">. </w:t>
      </w:r>
    </w:p>
    <w:p w:rsidR="00EA545B" w:rsidRPr="005D7260" w:rsidRDefault="00EA545B" w:rsidP="00EA545B">
      <w:pPr>
        <w:pStyle w:val="Heading4"/>
      </w:pPr>
      <w:bookmarkStart w:id="42" w:name="_Toc415727691"/>
      <w:r>
        <w:t>Valuation of Long-</w:t>
      </w:r>
      <w:r w:rsidRPr="005D7260">
        <w:t>Lived Assets</w:t>
      </w:r>
      <w:bookmarkEnd w:id="42"/>
    </w:p>
    <w:p w:rsidR="00EA545B" w:rsidRPr="005D7260" w:rsidRDefault="00EA545B" w:rsidP="00EA545B">
      <w:pPr>
        <w:autoSpaceDE w:val="0"/>
        <w:autoSpaceDN w:val="0"/>
        <w:adjustRightInd w:val="0"/>
      </w:pPr>
      <w:r w:rsidRPr="005D7260">
        <w:t xml:space="preserve">The Federation accounts for the valuation of long-lived assets under </w:t>
      </w:r>
      <w:r>
        <w:t xml:space="preserve">the </w:t>
      </w:r>
      <w:r w:rsidRPr="005D7260">
        <w:t>Impairment or Di</w:t>
      </w:r>
      <w:r>
        <w:t>sposal of Long-Lived Assets topic of the FASB Ac</w:t>
      </w:r>
      <w:r w:rsidRPr="005D7260">
        <w:t>counting Standards Codification. Long-liv</w:t>
      </w:r>
      <w:r>
        <w:t xml:space="preserve">ed assets, such as property and </w:t>
      </w:r>
      <w:r w:rsidRPr="0098161F">
        <w:rPr>
          <w:bCs/>
        </w:rPr>
        <w:t>equipment and purcha</w:t>
      </w:r>
      <w:r>
        <w:rPr>
          <w:bCs/>
        </w:rPr>
        <w:t>sed intangibles subject to amort</w:t>
      </w:r>
      <w:r w:rsidRPr="0098161F">
        <w:rPr>
          <w:bCs/>
        </w:rPr>
        <w:t>ization, are reviewed for impairment whenever</w:t>
      </w:r>
      <w:r>
        <w:t xml:space="preserve"> events or changes in circumstances i</w:t>
      </w:r>
      <w:r w:rsidRPr="005D7260">
        <w:t>ndicate that the carrying amount of a</w:t>
      </w:r>
      <w:r>
        <w:t xml:space="preserve">n asset may not be recoverable, </w:t>
      </w:r>
      <w:r w:rsidRPr="005D7260">
        <w:t>and evalu</w:t>
      </w:r>
      <w:r>
        <w:t>ated at least annually. Recoverabi</w:t>
      </w:r>
      <w:r w:rsidRPr="005D7260">
        <w:t>l</w:t>
      </w:r>
      <w:r>
        <w:t>ity of</w:t>
      </w:r>
      <w:r w:rsidRPr="005D7260">
        <w:t xml:space="preserve"> assets to be held an</w:t>
      </w:r>
      <w:r>
        <w:t xml:space="preserve">d used is measured by comparing </w:t>
      </w:r>
      <w:r w:rsidRPr="005D7260">
        <w:t>the carrying amou</w:t>
      </w:r>
      <w:r>
        <w:t>nt of an asset to estimated undi</w:t>
      </w:r>
      <w:r w:rsidRPr="005D7260">
        <w:t xml:space="preserve">scounted future cash flows expected </w:t>
      </w:r>
      <w:r>
        <w:t>to be generated by the asset. If the ca</w:t>
      </w:r>
      <w:r w:rsidR="00356B60">
        <w:t>rrying amount of</w:t>
      </w:r>
      <w:r w:rsidRPr="005D7260">
        <w:t xml:space="preserve"> an asset exceeds </w:t>
      </w:r>
      <w:r>
        <w:t xml:space="preserve">its estimated future cash flows, an impairment </w:t>
      </w:r>
      <w:r w:rsidRPr="005D7260">
        <w:t>charge is recognized in the amount by which the carrying a</w:t>
      </w:r>
      <w:r>
        <w:t>mount of the asset exceeds the fair value of the asset. Assets to be disposed of would be</w:t>
      </w:r>
      <w:r w:rsidRPr="005D7260">
        <w:t xml:space="preserve"> separately presented in the </w:t>
      </w:r>
      <w:r w:rsidR="00356B60">
        <w:t xml:space="preserve">consolidated </w:t>
      </w:r>
      <w:r w:rsidRPr="005D7260">
        <w:t>stat</w:t>
      </w:r>
      <w:r>
        <w:t xml:space="preserve">ement of financial position and </w:t>
      </w:r>
      <w:r w:rsidRPr="005D7260">
        <w:lastRenderedPageBreak/>
        <w:t>reported at the lower of the carrying amount or fair value less costs to sell, and are no longer depreciated.</w:t>
      </w:r>
      <w:r>
        <w:t xml:space="preserve"> </w:t>
      </w:r>
      <w:r w:rsidRPr="005D7260">
        <w:t xml:space="preserve">The assets and liabilities of a disposed </w:t>
      </w:r>
      <w:r w:rsidR="00356B60">
        <w:t>group classified as held for sal</w:t>
      </w:r>
      <w:r w:rsidRPr="005D7260">
        <w:t>e w</w:t>
      </w:r>
      <w:r>
        <w:t xml:space="preserve">ould be presented separately in </w:t>
      </w:r>
      <w:r w:rsidRPr="005D7260">
        <w:t>the appropriate asset and liability sections of the statement of financial po</w:t>
      </w:r>
      <w:r>
        <w:t>sition. Management believes the value of long-</w:t>
      </w:r>
      <w:r w:rsidRPr="005D7260">
        <w:t>lived assets exceed their carryi</w:t>
      </w:r>
      <w:r w:rsidR="00356B60">
        <w:t>ng value as of December 31, 2016</w:t>
      </w:r>
      <w:r w:rsidRPr="005D7260">
        <w:t>.</w:t>
      </w:r>
    </w:p>
    <w:p w:rsidR="00EA545B" w:rsidRPr="005D7260" w:rsidRDefault="00EA545B" w:rsidP="00EA545B">
      <w:pPr>
        <w:pStyle w:val="Heading4"/>
      </w:pPr>
      <w:bookmarkStart w:id="43" w:name="_Toc415727692"/>
      <w:r w:rsidRPr="005D7260">
        <w:t>Accrued Annuity Benefit</w:t>
      </w:r>
      <w:bookmarkEnd w:id="43"/>
    </w:p>
    <w:p w:rsidR="00EA545B" w:rsidRPr="005D7260" w:rsidRDefault="00EA545B" w:rsidP="00EA545B">
      <w:pPr>
        <w:autoSpaceDE w:val="0"/>
        <w:autoSpaceDN w:val="0"/>
        <w:adjustRightInd w:val="0"/>
        <w:spacing w:after="240"/>
      </w:pPr>
      <w:r w:rsidRPr="005D7260">
        <w:t>The Federation had esta</w:t>
      </w:r>
      <w:r>
        <w:t>blished a charitable gift annuit</w:t>
      </w:r>
      <w:r w:rsidRPr="005D7260">
        <w:t xml:space="preserve">y program where </w:t>
      </w:r>
      <w:r>
        <w:t xml:space="preserve">donors may contribute assets </w:t>
      </w:r>
      <w:r w:rsidRPr="00854DDB">
        <w:t xml:space="preserve">to </w:t>
      </w:r>
      <w:r w:rsidRPr="00854DDB">
        <w:rPr>
          <w:bCs/>
        </w:rPr>
        <w:t>the Federation and in return recei</w:t>
      </w:r>
      <w:r>
        <w:rPr>
          <w:bCs/>
        </w:rPr>
        <w:t>ve a guaranteed fixed i</w:t>
      </w:r>
      <w:r w:rsidRPr="00854DDB">
        <w:rPr>
          <w:bCs/>
        </w:rPr>
        <w:t>ncome for life. The Federation maintains a</w:t>
      </w:r>
      <w:r w:rsidRPr="00854DDB">
        <w:t xml:space="preserve"> segregated investment account to hold reserves required for gi</w:t>
      </w:r>
      <w:r>
        <w:t>f</w:t>
      </w:r>
      <w:r w:rsidRPr="00854DDB">
        <w:t xml:space="preserve">t annuity instruments. </w:t>
      </w:r>
      <w:r w:rsidR="00356B60">
        <w:t>As of December 31, 2016</w:t>
      </w:r>
      <w:r w:rsidRPr="005D7260">
        <w:t>, the balance in this rese</w:t>
      </w:r>
      <w:r>
        <w:t>rve account amounted</w:t>
      </w:r>
      <w:r w:rsidR="00356B60">
        <w:t xml:space="preserve"> to $100,812</w:t>
      </w:r>
      <w:r w:rsidRPr="005D7260">
        <w:t xml:space="preserve"> and is adequate to </w:t>
      </w:r>
      <w:r w:rsidRPr="00854DDB">
        <w:rPr>
          <w:iCs/>
        </w:rPr>
        <w:t>cover</w:t>
      </w:r>
      <w:r>
        <w:t xml:space="preserve"> the accrued </w:t>
      </w:r>
      <w:r w:rsidRPr="005D7260">
        <w:t>annuity benefit liability. The Federation recognizes contribution revenue for</w:t>
      </w:r>
      <w:r>
        <w:t xml:space="preserve"> the difference between the fair </w:t>
      </w:r>
      <w:r w:rsidRPr="005D7260">
        <w:t>value of the asset</w:t>
      </w:r>
      <w:r>
        <w:t>s received and the annuity liabi</w:t>
      </w:r>
      <w:r w:rsidRPr="005D7260">
        <w:t>l</w:t>
      </w:r>
      <w:r>
        <w:t>ity. The accrued annuity benefit</w:t>
      </w:r>
      <w:r w:rsidRPr="005D7260">
        <w:t xml:space="preserve"> </w:t>
      </w:r>
      <w:r>
        <w:rPr>
          <w:rFonts w:eastAsia="HiddenHorzOCR"/>
        </w:rPr>
        <w:t>liabil</w:t>
      </w:r>
      <w:r w:rsidRPr="005D7260">
        <w:rPr>
          <w:rFonts w:eastAsia="HiddenHorzOCR"/>
        </w:rPr>
        <w:t xml:space="preserve">ity </w:t>
      </w:r>
      <w:r>
        <w:t xml:space="preserve">represents </w:t>
      </w:r>
      <w:r w:rsidRPr="005D7260">
        <w:t>monies tempor</w:t>
      </w:r>
      <w:r>
        <w:t>arily restricted until the annui</w:t>
      </w:r>
      <w:r w:rsidRPr="005D7260">
        <w:t>ty is satisfied.</w:t>
      </w:r>
    </w:p>
    <w:p w:rsidR="00EA545B" w:rsidRPr="00854DDB" w:rsidRDefault="00EA545B" w:rsidP="00EA545B">
      <w:pPr>
        <w:autoSpaceDE w:val="0"/>
        <w:autoSpaceDN w:val="0"/>
        <w:adjustRightInd w:val="0"/>
        <w:spacing w:after="240"/>
      </w:pPr>
      <w:r w:rsidRPr="005D7260">
        <w:t>Annuity be</w:t>
      </w:r>
      <w:r>
        <w:t>nefit liabilities are recorded for the requi</w:t>
      </w:r>
      <w:r w:rsidRPr="005D7260">
        <w:t>red life annuity payments at the pres</w:t>
      </w:r>
      <w:r>
        <w:t xml:space="preserve">ent value of </w:t>
      </w:r>
      <w:r w:rsidRPr="005D7260">
        <w:t xml:space="preserve">expected future </w:t>
      </w:r>
      <w:r>
        <w:t>cash payments discounted using interest rates at the date of gift and actuarial assumptions. The calculation of</w:t>
      </w:r>
      <w:r w:rsidRPr="005D7260">
        <w:t xml:space="preserve"> the liability </w:t>
      </w:r>
      <w:r>
        <w:t>inclu</w:t>
      </w:r>
      <w:r w:rsidRPr="005D7260">
        <w:t xml:space="preserve">des a donor's estimated </w:t>
      </w:r>
      <w:r>
        <w:rPr>
          <w:rFonts w:eastAsia="HiddenHorzOCR"/>
        </w:rPr>
        <w:t>lif</w:t>
      </w:r>
      <w:r w:rsidRPr="005D7260">
        <w:rPr>
          <w:rFonts w:eastAsia="HiddenHorzOCR"/>
        </w:rPr>
        <w:t xml:space="preserve">e </w:t>
      </w:r>
      <w:r>
        <w:t xml:space="preserve">expectancy. The annuity </w:t>
      </w:r>
      <w:r w:rsidRPr="005D7260">
        <w:t>obligations are adjusted each year for chan</w:t>
      </w:r>
      <w:r>
        <w:t>ges in the life</w:t>
      </w:r>
      <w:r w:rsidRPr="005D7260">
        <w:t xml:space="preserve"> expectancy of th</w:t>
      </w:r>
      <w:r>
        <w:t xml:space="preserve">e beneficiaries and are reduced </w:t>
      </w:r>
      <w:r w:rsidRPr="005D7260">
        <w:t>as payments are made to the donor. This program has since been di</w:t>
      </w:r>
      <w:r>
        <w:t xml:space="preserve">scontinued. The accrued annuity </w:t>
      </w:r>
      <w:r w:rsidRPr="005D7260">
        <w:t xml:space="preserve">benefit </w:t>
      </w:r>
      <w:r>
        <w:rPr>
          <w:rFonts w:eastAsia="HiddenHorzOCR"/>
        </w:rPr>
        <w:t>li</w:t>
      </w:r>
      <w:r w:rsidRPr="005D7260">
        <w:rPr>
          <w:rFonts w:eastAsia="HiddenHorzOCR"/>
        </w:rPr>
        <w:t xml:space="preserve">ability </w:t>
      </w:r>
      <w:r w:rsidR="00356B60">
        <w:t>at December 31, 2016</w:t>
      </w:r>
      <w:r w:rsidRPr="005D7260">
        <w:t xml:space="preserve"> includes future payments for beneficiaries who entered th</w:t>
      </w:r>
      <w:r>
        <w:t xml:space="preserve">e </w:t>
      </w:r>
      <w:r w:rsidRPr="00854DDB">
        <w:t xml:space="preserve">program </w:t>
      </w:r>
      <w:r w:rsidRPr="00854DDB">
        <w:rPr>
          <w:bCs/>
        </w:rPr>
        <w:t>prior to its termination.</w:t>
      </w:r>
    </w:p>
    <w:p w:rsidR="00EA545B" w:rsidRPr="005D7260" w:rsidRDefault="00EA545B" w:rsidP="00EA545B">
      <w:pPr>
        <w:pStyle w:val="Heading4"/>
      </w:pPr>
      <w:bookmarkStart w:id="44" w:name="_Toc415727693"/>
      <w:r w:rsidRPr="005D7260">
        <w:t>Income Taxes</w:t>
      </w:r>
      <w:bookmarkEnd w:id="44"/>
    </w:p>
    <w:p w:rsidR="00EA545B" w:rsidRPr="005D7260" w:rsidRDefault="00EA545B" w:rsidP="00EA545B">
      <w:pPr>
        <w:autoSpaceDE w:val="0"/>
        <w:autoSpaceDN w:val="0"/>
        <w:adjustRightInd w:val="0"/>
        <w:spacing w:after="240"/>
      </w:pPr>
      <w:r w:rsidRPr="005D7260">
        <w:t xml:space="preserve">The Federation is exempt from federal </w:t>
      </w:r>
      <w:r>
        <w:t>i</w:t>
      </w:r>
      <w:r w:rsidRPr="005D7260">
        <w:t>ncome taxes under Internal R</w:t>
      </w:r>
      <w:r>
        <w:t>evenue Code Section 501(c</w:t>
      </w:r>
      <w:proofErr w:type="gramStart"/>
      <w:r>
        <w:t>)(</w:t>
      </w:r>
      <w:proofErr w:type="gramEnd"/>
      <w:r>
        <w:t xml:space="preserve">3). </w:t>
      </w:r>
      <w:r w:rsidRPr="005D7260">
        <w:t xml:space="preserve">There were no income taxes paid on unrelated business activities for </w:t>
      </w:r>
      <w:r w:rsidR="00356B60">
        <w:t>the year ended December 31, 2016</w:t>
      </w:r>
      <w:r w:rsidRPr="005D7260">
        <w:t>.</w:t>
      </w:r>
    </w:p>
    <w:p w:rsidR="00EA545B" w:rsidRPr="005D7260" w:rsidRDefault="00EA545B" w:rsidP="00EA545B">
      <w:pPr>
        <w:pStyle w:val="Heading4"/>
      </w:pPr>
      <w:bookmarkStart w:id="45" w:name="_Toc415727694"/>
      <w:r w:rsidRPr="005D7260">
        <w:t>Accou</w:t>
      </w:r>
      <w:r>
        <w:t>nting for Uncertai</w:t>
      </w:r>
      <w:r w:rsidRPr="005D7260">
        <w:t>nty</w:t>
      </w:r>
      <w:r>
        <w:t xml:space="preserve"> i</w:t>
      </w:r>
      <w:r w:rsidRPr="005D7260">
        <w:t>n Income Taxes</w:t>
      </w:r>
      <w:bookmarkEnd w:id="45"/>
    </w:p>
    <w:p w:rsidR="00EA545B" w:rsidRPr="005D7260" w:rsidRDefault="00EA545B" w:rsidP="00EA545B">
      <w:pPr>
        <w:autoSpaceDE w:val="0"/>
        <w:autoSpaceDN w:val="0"/>
        <w:adjustRightInd w:val="0"/>
        <w:spacing w:after="240"/>
      </w:pPr>
      <w:r w:rsidRPr="005D7260">
        <w:t xml:space="preserve">The Federation adopted </w:t>
      </w:r>
      <w:r>
        <w:t>the Accounting for Uncertainty i</w:t>
      </w:r>
      <w:r w:rsidRPr="005D7260">
        <w:t>n Income Tax</w:t>
      </w:r>
      <w:r>
        <w:t xml:space="preserve">es topic of the FASB Accounting </w:t>
      </w:r>
      <w:r w:rsidRPr="005D7260">
        <w:t xml:space="preserve">Standards Codification. The standard requires the recognition and measurement of uncertain tax </w:t>
      </w:r>
      <w:r>
        <w:rPr>
          <w:rFonts w:eastAsia="HiddenHorzOCR"/>
        </w:rPr>
        <w:t>posit</w:t>
      </w:r>
      <w:r w:rsidRPr="005D7260">
        <w:rPr>
          <w:rFonts w:eastAsia="HiddenHorzOCR"/>
        </w:rPr>
        <w:t>ions</w:t>
      </w:r>
      <w:r>
        <w:t xml:space="preserve"> </w:t>
      </w:r>
      <w:r w:rsidRPr="005D7260">
        <w:t>taken or expected</w:t>
      </w:r>
      <w:r>
        <w:t xml:space="preserve"> to be taken by the Federation i</w:t>
      </w:r>
      <w:r w:rsidRPr="005D7260">
        <w:t xml:space="preserve">n the preparation of </w:t>
      </w:r>
      <w:r>
        <w:t xml:space="preserve">its tax returns. The Federation determines whether it is more </w:t>
      </w:r>
      <w:r w:rsidRPr="005D7260">
        <w:t>l</w:t>
      </w:r>
      <w:r>
        <w:t>ikely-than-not that a certain t</w:t>
      </w:r>
      <w:r w:rsidRPr="005D7260">
        <w:t>ax position wil</w:t>
      </w:r>
      <w:r>
        <w:t xml:space="preserve">l be sustained upon examination </w:t>
      </w:r>
      <w:r w:rsidRPr="005D7260">
        <w:t>by a tax</w:t>
      </w:r>
      <w:r>
        <w:t>ing authority. If an uncertain tax position is less-likely-than-</w:t>
      </w:r>
      <w:r w:rsidRPr="005D7260">
        <w:t>not to b</w:t>
      </w:r>
      <w:r>
        <w:t xml:space="preserve">e sustained, an estimate of the </w:t>
      </w:r>
      <w:r w:rsidRPr="005D7260">
        <w:t xml:space="preserve">potential effect is recognized </w:t>
      </w:r>
      <w:r w:rsidRPr="005D7260">
        <w:lastRenderedPageBreak/>
        <w:t xml:space="preserve">in the </w:t>
      </w:r>
      <w:r w:rsidR="00356B60">
        <w:t xml:space="preserve">consolidated </w:t>
      </w:r>
      <w:r w:rsidRPr="005D7260">
        <w:t xml:space="preserve">financial statements </w:t>
      </w:r>
      <w:r>
        <w:t xml:space="preserve">and the uncertain tax position is required to be </w:t>
      </w:r>
      <w:r w:rsidRPr="005D7260">
        <w:t>disclosed. Per the Federation's evalu</w:t>
      </w:r>
      <w:r w:rsidR="00356B60">
        <w:t>ation as of December 31, 2016</w:t>
      </w:r>
      <w:r>
        <w:t>, i</w:t>
      </w:r>
      <w:r w:rsidRPr="005D7260">
        <w:t>ncluding all prior tax year</w:t>
      </w:r>
      <w:r>
        <w:t>s subject to examination, i</w:t>
      </w:r>
      <w:r w:rsidRPr="005D7260">
        <w:t>t was determined that no material ad</w:t>
      </w:r>
      <w:r>
        <w:t xml:space="preserve">justments were required in the </w:t>
      </w:r>
      <w:r w:rsidR="00356B60">
        <w:t xml:space="preserve">consolidated </w:t>
      </w:r>
      <w:r>
        <w:t>f</w:t>
      </w:r>
      <w:r w:rsidRPr="005D7260">
        <w:t>inancial statements for</w:t>
      </w:r>
      <w:r>
        <w:t xml:space="preserve"> tax posit</w:t>
      </w:r>
      <w:r w:rsidRPr="005D7260">
        <w:t>ions less-likely-than-not to be sustained upon examination by a taxing authority. The Federation</w:t>
      </w:r>
      <w:r>
        <w:t xml:space="preserve"> believes i</w:t>
      </w:r>
      <w:r w:rsidRPr="005D7260">
        <w:t>t is no longer subject</w:t>
      </w:r>
      <w:r>
        <w:t xml:space="preserve"> to i</w:t>
      </w:r>
      <w:r w:rsidRPr="005D7260">
        <w:t>ncome tax examin</w:t>
      </w:r>
      <w:r w:rsidR="00356B60">
        <w:t>ations for years prior to 2013</w:t>
      </w:r>
      <w:r>
        <w:t>.</w:t>
      </w:r>
    </w:p>
    <w:p w:rsidR="00EA545B" w:rsidRPr="005D7260" w:rsidRDefault="00EA545B" w:rsidP="00EA545B">
      <w:pPr>
        <w:pStyle w:val="Heading4"/>
      </w:pPr>
      <w:bookmarkStart w:id="46" w:name="_Toc415727695"/>
      <w:r w:rsidRPr="005D7260">
        <w:t>Donated Services and Media</w:t>
      </w:r>
      <w:bookmarkEnd w:id="46"/>
    </w:p>
    <w:p w:rsidR="00EA545B" w:rsidRPr="005D7260" w:rsidRDefault="00EA545B" w:rsidP="00EA545B">
      <w:pPr>
        <w:autoSpaceDE w:val="0"/>
        <w:autoSpaceDN w:val="0"/>
        <w:adjustRightInd w:val="0"/>
        <w:spacing w:after="240"/>
      </w:pPr>
      <w:r>
        <w:t>The Federation has adopted t</w:t>
      </w:r>
      <w:r w:rsidRPr="005D7260">
        <w:t xml:space="preserve">he Revenue Recognition for </w:t>
      </w:r>
      <w:r>
        <w:t>Not-for-Profit Entities topic of the FASB Accounting Standards Codi</w:t>
      </w:r>
      <w:r w:rsidRPr="005D7260">
        <w:t>fication in the recognition of donated services. Dona</w:t>
      </w:r>
      <w:r>
        <w:t xml:space="preserve">ted services are </w:t>
      </w:r>
      <w:r w:rsidRPr="005D7260">
        <w:t xml:space="preserve">recognized at fair value if the services received (a) create or enhance </w:t>
      </w:r>
      <w:r>
        <w:rPr>
          <w:rFonts w:eastAsia="HiddenHorzOCR"/>
        </w:rPr>
        <w:t>long-l</w:t>
      </w:r>
      <w:r w:rsidRPr="005D7260">
        <w:rPr>
          <w:rFonts w:eastAsia="HiddenHorzOCR"/>
        </w:rPr>
        <w:t xml:space="preserve">ived </w:t>
      </w:r>
      <w:r>
        <w:t xml:space="preserve">assets or (b) require </w:t>
      </w:r>
      <w:r w:rsidRPr="005D7260">
        <w:t xml:space="preserve">specialized skills, are provided by </w:t>
      </w:r>
      <w:r>
        <w:t>i</w:t>
      </w:r>
      <w:r w:rsidRPr="005D7260">
        <w:t>ndi</w:t>
      </w:r>
      <w:r>
        <w:t>viduals possessing those skills, and would typically need to be purchased if</w:t>
      </w:r>
      <w:r w:rsidRPr="005D7260">
        <w:t xml:space="preserve"> not provided by don</w:t>
      </w:r>
      <w:r>
        <w:t>ation. Donated servic</w:t>
      </w:r>
      <w:r w:rsidRPr="005D7260">
        <w:t xml:space="preserve">es and media are </w:t>
      </w:r>
      <w:r>
        <w:t>recorded as both public support a</w:t>
      </w:r>
      <w:r w:rsidRPr="005D7260">
        <w:t>nd prog</w:t>
      </w:r>
      <w:r>
        <w:t>ram services; therefore, there i</w:t>
      </w:r>
      <w:r w:rsidRPr="005D7260">
        <w:t>s no effect on the change in net assets.</w:t>
      </w:r>
    </w:p>
    <w:p w:rsidR="00EA545B" w:rsidRPr="005D7260" w:rsidRDefault="00EA545B" w:rsidP="00EA545B">
      <w:pPr>
        <w:autoSpaceDE w:val="0"/>
        <w:autoSpaceDN w:val="0"/>
        <w:adjustRightInd w:val="0"/>
      </w:pPr>
      <w:r w:rsidRPr="005D7260">
        <w:t xml:space="preserve">Donated services consist of volunteer </w:t>
      </w:r>
      <w:r>
        <w:t>services,</w:t>
      </w:r>
      <w:r w:rsidRPr="005D7260">
        <w:t xml:space="preserve"> pr</w:t>
      </w:r>
      <w:r>
        <w:t>imarily f</w:t>
      </w:r>
      <w:r w:rsidRPr="005D7260">
        <w:t xml:space="preserve">or the orientation and adjustment </w:t>
      </w:r>
      <w:r>
        <w:t>to blindness and blindness advocacy. Volu</w:t>
      </w:r>
      <w:r w:rsidRPr="005D7260">
        <w:t>nteer services are recorded on the basis of ti</w:t>
      </w:r>
      <w:r>
        <w:t xml:space="preserve">me spent at rates paid by other </w:t>
      </w:r>
      <w:r w:rsidRPr="005D7260">
        <w:t>organizations for comparable services. The volunteer services revenue for the year ended December 31,</w:t>
      </w:r>
    </w:p>
    <w:p w:rsidR="00EA545B" w:rsidRPr="005D7260" w:rsidRDefault="00A00D36" w:rsidP="00EA545B">
      <w:pPr>
        <w:autoSpaceDE w:val="0"/>
        <w:autoSpaceDN w:val="0"/>
        <w:adjustRightInd w:val="0"/>
        <w:spacing w:after="240"/>
      </w:pPr>
      <w:r>
        <w:t>2016 amounted to approximately $3,</w:t>
      </w:r>
      <w:r w:rsidR="00EA545B">
        <w:t>0</w:t>
      </w:r>
      <w:r>
        <w:t>2</w:t>
      </w:r>
      <w:r w:rsidR="00EA545B">
        <w:t>4</w:t>
      </w:r>
      <w:r w:rsidR="00EA545B" w:rsidRPr="005D7260">
        <w:t xml:space="preserve">,000 and is </w:t>
      </w:r>
      <w:r w:rsidR="00EA545B">
        <w:t>included i</w:t>
      </w:r>
      <w:r w:rsidR="00EA545B" w:rsidRPr="005D7260">
        <w:t>n</w:t>
      </w:r>
      <w:r w:rsidR="00EA545B">
        <w:t xml:space="preserve"> donated services in the</w:t>
      </w:r>
      <w:r>
        <w:t xml:space="preserve"> consolidated</w:t>
      </w:r>
      <w:r w:rsidR="00EA545B">
        <w:t xml:space="preserve"> statements of activities, and the expenditure is included in</w:t>
      </w:r>
      <w:r w:rsidR="00EA545B" w:rsidRPr="005D7260">
        <w:t xml:space="preserve"> voluntee</w:t>
      </w:r>
      <w:r w:rsidR="00EA545B">
        <w:t xml:space="preserve">r services in the </w:t>
      </w:r>
      <w:r>
        <w:t xml:space="preserve">consolidated </w:t>
      </w:r>
      <w:r w:rsidR="00EA545B">
        <w:t>statements of functional expense</w:t>
      </w:r>
      <w:r w:rsidR="00EA545B" w:rsidRPr="005D7260">
        <w:t>.</w:t>
      </w:r>
    </w:p>
    <w:p w:rsidR="00EA545B" w:rsidRPr="005D7260" w:rsidRDefault="00EA545B" w:rsidP="00EA545B">
      <w:pPr>
        <w:autoSpaceDE w:val="0"/>
        <w:autoSpaceDN w:val="0"/>
        <w:adjustRightInd w:val="0"/>
        <w:spacing w:after="240"/>
      </w:pPr>
      <w:r w:rsidRPr="005D7260">
        <w:t xml:space="preserve">The Federation has adopted </w:t>
      </w:r>
      <w:r>
        <w:t>the Revenue Recognition for Not-for-Profit Entities topic of the FASB Accounting Standards Codifi</w:t>
      </w:r>
      <w:r w:rsidRPr="005D7260">
        <w:t>cation in the recognition of donat</w:t>
      </w:r>
      <w:r>
        <w:t xml:space="preserve">ed media. Management employs an </w:t>
      </w:r>
      <w:r w:rsidRPr="005D7260">
        <w:t>ind</w:t>
      </w:r>
      <w:r>
        <w:t xml:space="preserve">ependent third party to assist in the valuation of </w:t>
      </w:r>
      <w:r w:rsidRPr="005D7260">
        <w:t>the Federation's exposur</w:t>
      </w:r>
      <w:r>
        <w:t>e to the public through various means including internet, radio</w:t>
      </w:r>
      <w:r w:rsidRPr="005D7260">
        <w:t>, television time and printed materials in pub</w:t>
      </w:r>
      <w:r>
        <w:t xml:space="preserve">lications using the advertising </w:t>
      </w:r>
      <w:r w:rsidRPr="005D7260">
        <w:t>value equivalency metric. The donated media revenue for the year e</w:t>
      </w:r>
      <w:r w:rsidR="00A00D36">
        <w:t>nded December 31, 2016 amounted to approximately $1,</w:t>
      </w:r>
      <w:r>
        <w:t>3</w:t>
      </w:r>
      <w:r w:rsidR="00A00D36">
        <w:t>38</w:t>
      </w:r>
      <w:r>
        <w:t>,000 and is included i</w:t>
      </w:r>
      <w:r w:rsidRPr="005D7260">
        <w:t>n donated</w:t>
      </w:r>
      <w:r>
        <w:t xml:space="preserve"> services in the </w:t>
      </w:r>
      <w:r w:rsidR="00A00D36">
        <w:t xml:space="preserve">consolidated </w:t>
      </w:r>
      <w:r>
        <w:t xml:space="preserve">statements of activities, and the expenditure is included in donated media in the </w:t>
      </w:r>
      <w:r w:rsidR="00A00D36">
        <w:t xml:space="preserve">consolidated </w:t>
      </w:r>
      <w:r>
        <w:t xml:space="preserve">statements of functional expense. </w:t>
      </w:r>
    </w:p>
    <w:p w:rsidR="00EA545B" w:rsidRPr="005D7260" w:rsidRDefault="00EA545B" w:rsidP="00EA545B">
      <w:pPr>
        <w:autoSpaceDE w:val="0"/>
        <w:autoSpaceDN w:val="0"/>
        <w:adjustRightInd w:val="0"/>
        <w:spacing w:after="240"/>
      </w:pPr>
      <w:r w:rsidRPr="005D7260">
        <w:t>The Federation operates from the National Center for the Blind which allo</w:t>
      </w:r>
      <w:r>
        <w:t xml:space="preserve">ws free usage of facilities for </w:t>
      </w:r>
      <w:r w:rsidRPr="005D7260">
        <w:t>organizations that serve the blind.</w:t>
      </w:r>
    </w:p>
    <w:p w:rsidR="00EA545B" w:rsidRPr="005D7260" w:rsidRDefault="00EA545B" w:rsidP="00EA545B">
      <w:pPr>
        <w:pStyle w:val="Heading4"/>
      </w:pPr>
      <w:bookmarkStart w:id="47" w:name="_Toc415727696"/>
      <w:r>
        <w:lastRenderedPageBreak/>
        <w:t>Functional Allocation of Expe</w:t>
      </w:r>
      <w:r w:rsidRPr="005D7260">
        <w:t>nses</w:t>
      </w:r>
      <w:bookmarkEnd w:id="47"/>
    </w:p>
    <w:p w:rsidR="00EA545B" w:rsidRPr="005D7260" w:rsidRDefault="00EA545B" w:rsidP="00EA545B">
      <w:pPr>
        <w:autoSpaceDE w:val="0"/>
        <w:autoSpaceDN w:val="0"/>
        <w:adjustRightInd w:val="0"/>
        <w:spacing w:after="240"/>
      </w:pPr>
      <w:r>
        <w:t>The Federation reports i</w:t>
      </w:r>
      <w:r w:rsidRPr="005D7260">
        <w:t xml:space="preserve">ts </w:t>
      </w:r>
      <w:r>
        <w:t>expenses on a functional basis i</w:t>
      </w:r>
      <w:r w:rsidRPr="005D7260">
        <w:t xml:space="preserve">n the </w:t>
      </w:r>
      <w:r w:rsidR="00724C40">
        <w:t xml:space="preserve">consolidated </w:t>
      </w:r>
      <w:r w:rsidRPr="005D7260">
        <w:t>statement</w:t>
      </w:r>
      <w:r>
        <w:t xml:space="preserve"> of activities. These functions </w:t>
      </w:r>
      <w:r w:rsidRPr="005D7260">
        <w:t xml:space="preserve">consist of program and supporting service costs. Costs have been allocated among the program </w:t>
      </w:r>
      <w:r>
        <w:t xml:space="preserve">and </w:t>
      </w:r>
      <w:r w:rsidRPr="005D7260">
        <w:t>supporting service activities based on management estimates using m</w:t>
      </w:r>
      <w:r>
        <w:t>ethods such as weighted-average distributions and specific i</w:t>
      </w:r>
      <w:r w:rsidRPr="005D7260">
        <w:t>dentification.</w:t>
      </w:r>
    </w:p>
    <w:p w:rsidR="00724C40" w:rsidRDefault="00724C40" w:rsidP="00EA545B">
      <w:pPr>
        <w:pStyle w:val="Heading4"/>
      </w:pPr>
      <w:bookmarkStart w:id="48" w:name="_Toc415727697"/>
      <w:r>
        <w:t>New Accounting Pronouncements Not Yet Adopted</w:t>
      </w:r>
    </w:p>
    <w:p w:rsidR="00724C40" w:rsidRDefault="00724C40" w:rsidP="00724C40">
      <w:r>
        <w:t xml:space="preserve">In May 2014, the FASB issued Accounting Standards Update (ASU) 2014-09, </w:t>
      </w:r>
      <w:r>
        <w:rPr>
          <w:i/>
        </w:rPr>
        <w:t>Revenue from Contracts with Customers</w:t>
      </w:r>
      <w:r>
        <w:t>. The standard’s core principle is that the Federation will recognize revenue when it transfers promised goods or services to customers in an amount that reflects the consideration to which the Federation expects to be entitled in exchange for those goods or services. This standard also includes expanded disclosure requirements that result in an entity providing users of financial statements with comprehensive information about the nature, amount, timing, and uncertainty of revenue and cash flows arising from the entity’s contracts with customers. The standard will be effective for the calendar year ending December 31, 2019. The Federation is currently in the process of evaluating the impact of adoption of this ASU on the consolidated financial statements.</w:t>
      </w:r>
    </w:p>
    <w:p w:rsidR="00724C40" w:rsidRDefault="00724C40" w:rsidP="00724C40"/>
    <w:p w:rsidR="00724C40" w:rsidRPr="00724C40" w:rsidRDefault="00724C40" w:rsidP="00724C40">
      <w:r>
        <w:t xml:space="preserve">In August 2016, the FASB issued ASU 2016-14, </w:t>
      </w:r>
      <w:r>
        <w:rPr>
          <w:i/>
        </w:rPr>
        <w:t>Not-for-Profit Entities: Presentation of Financial Statements of Not-for-Profit Entities</w:t>
      </w:r>
      <w:r>
        <w:t xml:space="preserve">, to improve the current net asset classification requirements and information presented in financial statements and notes about a not-for-profit entity’s liquidity, financial performance, and cash flows. </w:t>
      </w:r>
      <w:r w:rsidR="00E61AF8">
        <w:t xml:space="preserve">This update requires not-for-profit entities to present two classes of net assets (net assets with donor restrictions and net assets without donor restrictions), rather than the three classes of net assets currently required, and other qualitative information regarding the entity’s liquidity, financial performance, and cash flows. </w:t>
      </w:r>
      <w:r>
        <w:t>This standard will be effective for the calendar year ending December</w:t>
      </w:r>
      <w:r w:rsidR="00E61AF8">
        <w:t xml:space="preserve"> 31, 2018. The Federation is in the process of evaluating the impact of adoption of this ASU on the consolidated financial statements.</w:t>
      </w:r>
    </w:p>
    <w:p w:rsidR="00EA545B" w:rsidRPr="005D7260" w:rsidRDefault="00EA545B" w:rsidP="00EA545B">
      <w:pPr>
        <w:pStyle w:val="Heading4"/>
      </w:pPr>
      <w:r w:rsidRPr="005D7260">
        <w:t>Subsequent Events</w:t>
      </w:r>
      <w:bookmarkEnd w:id="48"/>
    </w:p>
    <w:p w:rsidR="00EA545B" w:rsidRDefault="00EA545B" w:rsidP="00EA545B">
      <w:pPr>
        <w:autoSpaceDE w:val="0"/>
        <w:autoSpaceDN w:val="0"/>
        <w:adjustRightInd w:val="0"/>
      </w:pPr>
      <w:r w:rsidRPr="005D7260">
        <w:t>Eve</w:t>
      </w:r>
      <w:r>
        <w:t>nts that occurred</w:t>
      </w:r>
      <w:r w:rsidR="00E61AF8">
        <w:t xml:space="preserve"> subsequent to December 31, 2016</w:t>
      </w:r>
      <w:r w:rsidRPr="005D7260">
        <w:t xml:space="preserve"> have been evaluated by the Federation's</w:t>
      </w:r>
      <w:r>
        <w:t xml:space="preserve"> </w:t>
      </w:r>
      <w:r w:rsidRPr="005D7260">
        <w:t>management for poten</w:t>
      </w:r>
      <w:r>
        <w:t>tial recognition or disclosure i</w:t>
      </w:r>
      <w:r w:rsidRPr="005D7260">
        <w:t xml:space="preserve">n the </w:t>
      </w:r>
      <w:r w:rsidR="00E61AF8">
        <w:t xml:space="preserve">consolidated </w:t>
      </w:r>
      <w:r w:rsidRPr="005D7260">
        <w:t>financial sta</w:t>
      </w:r>
      <w:r>
        <w:t>tements through the date of the independent auditor's report, which i</w:t>
      </w:r>
      <w:r w:rsidRPr="005D7260">
        <w:t xml:space="preserve">s the date the </w:t>
      </w:r>
      <w:r w:rsidR="00E61AF8">
        <w:t xml:space="preserve">consolidated </w:t>
      </w:r>
      <w:r w:rsidRPr="005D7260">
        <w:t>financial statements w</w:t>
      </w:r>
      <w:r>
        <w:t xml:space="preserve">ere available to be issued. The </w:t>
      </w:r>
      <w:r>
        <w:lastRenderedPageBreak/>
        <w:t>Federation did not have any material recognizable subsequent events during this period.</w:t>
      </w:r>
    </w:p>
    <w:p w:rsidR="00EA545B" w:rsidRPr="004C1A2B" w:rsidRDefault="00EA545B" w:rsidP="00EA545B">
      <w:pPr>
        <w:pStyle w:val="Heading3"/>
      </w:pPr>
      <w:bookmarkStart w:id="49" w:name="_Toc415727698"/>
      <w:r>
        <w:t>NOTE 2</w:t>
      </w:r>
      <w:r w:rsidRPr="004C1A2B">
        <w:t xml:space="preserve"> - </w:t>
      </w:r>
      <w:r>
        <w:t>NOTES RECEIVABLE</w:t>
      </w:r>
      <w:bookmarkEnd w:id="49"/>
    </w:p>
    <w:p w:rsidR="00EA545B" w:rsidRDefault="00EA545B" w:rsidP="00EA545B">
      <w:pPr>
        <w:autoSpaceDE w:val="0"/>
        <w:autoSpaceDN w:val="0"/>
        <w:adjustRightInd w:val="0"/>
        <w:spacing w:after="240"/>
      </w:pPr>
      <w:r>
        <w:t>Notes</w:t>
      </w:r>
      <w:r w:rsidR="00E61AF8">
        <w:t xml:space="preserve"> receivable at December 31, 2016</w:t>
      </w:r>
      <w:r>
        <w:t xml:space="preserve"> consist of the following:</w:t>
      </w:r>
    </w:p>
    <w:tbl>
      <w:tblPr>
        <w:tblStyle w:val="TableGrid"/>
        <w:tblW w:w="0" w:type="auto"/>
        <w:tblLook w:val="04A0" w:firstRow="1" w:lastRow="0" w:firstColumn="1" w:lastColumn="0" w:noHBand="0" w:noVBand="1"/>
      </w:tblPr>
      <w:tblGrid>
        <w:gridCol w:w="7218"/>
        <w:gridCol w:w="2358"/>
      </w:tblGrid>
      <w:tr w:rsidR="00EA545B" w:rsidTr="00B40D61">
        <w:trPr>
          <w:cantSplit/>
        </w:trPr>
        <w:tc>
          <w:tcPr>
            <w:tcW w:w="7218" w:type="dxa"/>
          </w:tcPr>
          <w:p w:rsidR="00EA545B" w:rsidRDefault="00EA545B" w:rsidP="00B40D61">
            <w:pPr>
              <w:pStyle w:val="Heading4"/>
              <w:outlineLvl w:val="3"/>
            </w:pPr>
            <w:bookmarkStart w:id="50" w:name="_Toc415727699"/>
            <w:r>
              <w:t>Business Loans</w:t>
            </w:r>
            <w:bookmarkEnd w:id="50"/>
            <w:r>
              <w:t xml:space="preserve"> </w:t>
            </w:r>
          </w:p>
          <w:p w:rsidR="00EA545B" w:rsidRDefault="00EA545B" w:rsidP="00B40D61">
            <w:r>
              <w:t>Low interest loan program for business or job related purposes. The notes bear interest ranging from three percent (3%) to six percent (6%) per year and are secured by various business equipment and real property. The loans mature at various dates through July 2020.</w:t>
            </w:r>
          </w:p>
        </w:tc>
        <w:tc>
          <w:tcPr>
            <w:tcW w:w="2358" w:type="dxa"/>
            <w:vAlign w:val="bottom"/>
          </w:tcPr>
          <w:p w:rsidR="00EA545B" w:rsidRDefault="00E61AF8" w:rsidP="00B40D61">
            <w:pPr>
              <w:jc w:val="right"/>
            </w:pPr>
            <w:r>
              <w:t>$26,668</w:t>
            </w:r>
          </w:p>
        </w:tc>
      </w:tr>
      <w:tr w:rsidR="00EA545B" w:rsidTr="00B40D61">
        <w:trPr>
          <w:cantSplit/>
        </w:trPr>
        <w:tc>
          <w:tcPr>
            <w:tcW w:w="7218" w:type="dxa"/>
          </w:tcPr>
          <w:p w:rsidR="00EA545B" w:rsidRDefault="00EA545B" w:rsidP="00B40D61">
            <w:pPr>
              <w:pStyle w:val="Heading4"/>
              <w:outlineLvl w:val="3"/>
            </w:pPr>
            <w:proofErr w:type="spellStart"/>
            <w:r>
              <w:t>TriPlay</w:t>
            </w:r>
            <w:proofErr w:type="spellEnd"/>
            <w:r>
              <w:t xml:space="preserve">, Inc. </w:t>
            </w:r>
          </w:p>
          <w:p w:rsidR="00EA545B" w:rsidRDefault="00EA545B" w:rsidP="00B40D61">
            <w:r>
              <w:t>Unsecured note r</w:t>
            </w:r>
            <w:r w:rsidR="00E61AF8">
              <w:t>eceivable due from</w:t>
            </w:r>
            <w:r>
              <w:t xml:space="preserve"> an unrelated third party. The note bears interest at .43% and</w:t>
            </w:r>
            <w:r w:rsidR="00E61AF8">
              <w:t xml:space="preserve"> the Federation has extended the due date of the note into 2017.</w:t>
            </w:r>
          </w:p>
        </w:tc>
        <w:tc>
          <w:tcPr>
            <w:tcW w:w="2358" w:type="dxa"/>
            <w:vAlign w:val="bottom"/>
          </w:tcPr>
          <w:p w:rsidR="00EA545B" w:rsidRDefault="00EA545B" w:rsidP="00B40D61">
            <w:pPr>
              <w:jc w:val="right"/>
            </w:pPr>
            <w:r>
              <w:t>71,785</w:t>
            </w:r>
          </w:p>
        </w:tc>
      </w:tr>
      <w:tr w:rsidR="00EA545B" w:rsidTr="00B40D61">
        <w:trPr>
          <w:cantSplit/>
          <w:trHeight w:val="512"/>
        </w:trPr>
        <w:tc>
          <w:tcPr>
            <w:tcW w:w="7218" w:type="dxa"/>
            <w:vAlign w:val="center"/>
          </w:tcPr>
          <w:p w:rsidR="00EA545B" w:rsidRDefault="00EA545B" w:rsidP="00B40D61">
            <w:pPr>
              <w:ind w:left="360"/>
            </w:pPr>
            <w:r>
              <w:t>Total Notes Receivable</w:t>
            </w:r>
          </w:p>
        </w:tc>
        <w:tc>
          <w:tcPr>
            <w:tcW w:w="2358" w:type="dxa"/>
            <w:vAlign w:val="center"/>
          </w:tcPr>
          <w:p w:rsidR="00EA545B" w:rsidRPr="009F7F9D" w:rsidRDefault="00E61AF8" w:rsidP="00B40D61">
            <w:pPr>
              <w:jc w:val="right"/>
              <w:rPr>
                <w:u w:val="double"/>
              </w:rPr>
            </w:pPr>
            <w:r>
              <w:rPr>
                <w:u w:val="double"/>
              </w:rPr>
              <w:t>$98,453</w:t>
            </w:r>
          </w:p>
        </w:tc>
      </w:tr>
    </w:tbl>
    <w:p w:rsidR="00EA545B" w:rsidRDefault="00EA545B" w:rsidP="00EA545B"/>
    <w:p w:rsidR="00EA545B" w:rsidRDefault="00EA545B" w:rsidP="00EA545B">
      <w:pPr>
        <w:pStyle w:val="Heading3"/>
      </w:pPr>
      <w:bookmarkStart w:id="51" w:name="_Toc415727702"/>
      <w:r>
        <w:t>NOTE 3 - OTHER RECEIVABLES</w:t>
      </w:r>
      <w:bookmarkEnd w:id="51"/>
    </w:p>
    <w:p w:rsidR="00EA545B" w:rsidRDefault="00EA545B" w:rsidP="00EA545B">
      <w:pPr>
        <w:spacing w:after="240"/>
      </w:pPr>
      <w:r>
        <w:t xml:space="preserve">Other </w:t>
      </w:r>
      <w:r w:rsidR="00E61AF8">
        <w:t>receivables at December 31, 2016</w:t>
      </w:r>
      <w:r>
        <w:t xml:space="preserve"> consist of the following:</w:t>
      </w:r>
    </w:p>
    <w:tbl>
      <w:tblPr>
        <w:tblStyle w:val="TableGrid"/>
        <w:tblW w:w="0" w:type="auto"/>
        <w:tblLook w:val="04A0" w:firstRow="1" w:lastRow="0" w:firstColumn="1" w:lastColumn="0" w:noHBand="0" w:noVBand="1"/>
      </w:tblPr>
      <w:tblGrid>
        <w:gridCol w:w="7218"/>
        <w:gridCol w:w="2358"/>
      </w:tblGrid>
      <w:tr w:rsidR="00EA545B" w:rsidTr="00B40D61">
        <w:tc>
          <w:tcPr>
            <w:tcW w:w="7218" w:type="dxa"/>
          </w:tcPr>
          <w:p w:rsidR="00EA545B" w:rsidRDefault="00EA545B" w:rsidP="00B40D61">
            <w:pPr>
              <w:spacing w:after="240"/>
            </w:pPr>
            <w:r>
              <w:t>Contracts receivable</w:t>
            </w:r>
          </w:p>
        </w:tc>
        <w:tc>
          <w:tcPr>
            <w:tcW w:w="2358" w:type="dxa"/>
          </w:tcPr>
          <w:p w:rsidR="00EA545B" w:rsidRDefault="00E61AF8" w:rsidP="00B40D61">
            <w:pPr>
              <w:spacing w:after="240"/>
              <w:jc w:val="right"/>
            </w:pPr>
            <w:r>
              <w:t>$25</w:t>
            </w:r>
            <w:r w:rsidR="00EA545B">
              <w:t>6,</w:t>
            </w:r>
            <w:r>
              <w:t>1</w:t>
            </w:r>
            <w:r w:rsidR="00EA545B">
              <w:t>8</w:t>
            </w:r>
            <w:r>
              <w:t>9</w:t>
            </w:r>
          </w:p>
        </w:tc>
      </w:tr>
      <w:tr w:rsidR="00EA545B" w:rsidTr="00B40D61">
        <w:tc>
          <w:tcPr>
            <w:tcW w:w="7218" w:type="dxa"/>
          </w:tcPr>
          <w:p w:rsidR="00EA545B" w:rsidRDefault="00EA545B" w:rsidP="00B40D61">
            <w:pPr>
              <w:spacing w:after="240"/>
            </w:pPr>
            <w:r>
              <w:t>Grants receivable</w:t>
            </w:r>
          </w:p>
        </w:tc>
        <w:tc>
          <w:tcPr>
            <w:tcW w:w="2358" w:type="dxa"/>
          </w:tcPr>
          <w:p w:rsidR="00EA545B" w:rsidRDefault="00E61AF8" w:rsidP="00B40D61">
            <w:pPr>
              <w:spacing w:after="240"/>
              <w:jc w:val="right"/>
            </w:pPr>
            <w:r>
              <w:t>52</w:t>
            </w:r>
            <w:r w:rsidR="00EA545B">
              <w:t>,</w:t>
            </w:r>
            <w:r>
              <w:t>877</w:t>
            </w:r>
          </w:p>
        </w:tc>
      </w:tr>
      <w:tr w:rsidR="00EA545B" w:rsidTr="00B40D61">
        <w:tc>
          <w:tcPr>
            <w:tcW w:w="7218" w:type="dxa"/>
          </w:tcPr>
          <w:p w:rsidR="00EA545B" w:rsidRDefault="00EA545B" w:rsidP="00B40D61">
            <w:pPr>
              <w:spacing w:after="240"/>
            </w:pPr>
            <w:r>
              <w:t>Receivable related to KNFB Reader sales</w:t>
            </w:r>
          </w:p>
        </w:tc>
        <w:tc>
          <w:tcPr>
            <w:tcW w:w="2358" w:type="dxa"/>
          </w:tcPr>
          <w:p w:rsidR="00EA545B" w:rsidRPr="005A7B2B" w:rsidRDefault="00E61AF8" w:rsidP="00B40D61">
            <w:pPr>
              <w:spacing w:after="240"/>
              <w:jc w:val="right"/>
              <w:rPr>
                <w:u w:val="single"/>
              </w:rPr>
            </w:pPr>
            <w:r w:rsidRPr="005A7B2B">
              <w:rPr>
                <w:u w:val="single"/>
              </w:rPr>
              <w:t>86,875</w:t>
            </w:r>
          </w:p>
        </w:tc>
      </w:tr>
      <w:tr w:rsidR="00EA545B" w:rsidTr="00B40D61">
        <w:tc>
          <w:tcPr>
            <w:tcW w:w="7218" w:type="dxa"/>
          </w:tcPr>
          <w:p w:rsidR="00EA545B" w:rsidRDefault="00EA545B" w:rsidP="00B40D61">
            <w:pPr>
              <w:spacing w:after="240"/>
            </w:pPr>
            <w:r>
              <w:t>Total Other Receivables</w:t>
            </w:r>
          </w:p>
        </w:tc>
        <w:tc>
          <w:tcPr>
            <w:tcW w:w="2358" w:type="dxa"/>
          </w:tcPr>
          <w:p w:rsidR="00EA545B" w:rsidRPr="005A7B2B" w:rsidRDefault="00E61AF8" w:rsidP="00B40D61">
            <w:pPr>
              <w:spacing w:after="240"/>
              <w:jc w:val="right"/>
              <w:rPr>
                <w:u w:val="double"/>
              </w:rPr>
            </w:pPr>
            <w:r w:rsidRPr="005A7B2B">
              <w:rPr>
                <w:u w:val="double"/>
              </w:rPr>
              <w:t>$395,941</w:t>
            </w:r>
          </w:p>
        </w:tc>
      </w:tr>
    </w:tbl>
    <w:p w:rsidR="00EA545B" w:rsidRDefault="00EA545B" w:rsidP="00EA545B">
      <w:pPr>
        <w:spacing w:after="240"/>
      </w:pPr>
    </w:p>
    <w:p w:rsidR="00EA545B" w:rsidRDefault="00EA545B" w:rsidP="00EA545B">
      <w:pPr>
        <w:pStyle w:val="Heading3"/>
      </w:pPr>
      <w:bookmarkStart w:id="52" w:name="_Toc415727703"/>
      <w:r>
        <w:t>NOTE 4 – INTANGIBLE ASSETS</w:t>
      </w:r>
    </w:p>
    <w:p w:rsidR="00EA545B" w:rsidRDefault="00EA545B" w:rsidP="00EA545B">
      <w:r>
        <w:t xml:space="preserve">During 2015, the Federation’s senior secured notes receivable from Media Arc, Inc. (Media Arc) were exchanged for the assignment of the rights of the KNFB hand held reading technology, as part of the dissolution and eventual sale of Media </w:t>
      </w:r>
      <w:r>
        <w:lastRenderedPageBreak/>
        <w:t>Arc. As a result of this transaction, the Federation acquired several intangible assets. The Federation’s intang</w:t>
      </w:r>
      <w:r w:rsidR="00E61AF8">
        <w:t>ible assets at December 31, 2016</w:t>
      </w:r>
      <w:r>
        <w:t xml:space="preserve"> consist of the following: </w:t>
      </w:r>
    </w:p>
    <w:tbl>
      <w:tblPr>
        <w:tblStyle w:val="TableGrid"/>
        <w:tblW w:w="0" w:type="auto"/>
        <w:tblLook w:val="04A0" w:firstRow="1" w:lastRow="0" w:firstColumn="1" w:lastColumn="0" w:noHBand="0" w:noVBand="1"/>
      </w:tblPr>
      <w:tblGrid>
        <w:gridCol w:w="4788"/>
        <w:gridCol w:w="4788"/>
      </w:tblGrid>
      <w:tr w:rsidR="00EA545B" w:rsidTr="00B40D61">
        <w:tc>
          <w:tcPr>
            <w:tcW w:w="4788" w:type="dxa"/>
          </w:tcPr>
          <w:p w:rsidR="00EA545B" w:rsidRDefault="00EA545B" w:rsidP="00B40D61">
            <w:r>
              <w:t>KNFB Reader App</w:t>
            </w:r>
          </w:p>
        </w:tc>
        <w:tc>
          <w:tcPr>
            <w:tcW w:w="4788" w:type="dxa"/>
          </w:tcPr>
          <w:p w:rsidR="00EA545B" w:rsidRDefault="00EA545B" w:rsidP="00B40D61">
            <w:pPr>
              <w:jc w:val="right"/>
            </w:pPr>
            <w:r>
              <w:t>$2,072,262</w:t>
            </w:r>
          </w:p>
        </w:tc>
      </w:tr>
      <w:tr w:rsidR="00EA545B" w:rsidTr="00B40D61">
        <w:tc>
          <w:tcPr>
            <w:tcW w:w="4788" w:type="dxa"/>
          </w:tcPr>
          <w:p w:rsidR="00EA545B" w:rsidRDefault="00EA545B" w:rsidP="00B40D61">
            <w:r>
              <w:t>Patents</w:t>
            </w:r>
          </w:p>
        </w:tc>
        <w:tc>
          <w:tcPr>
            <w:tcW w:w="4788" w:type="dxa"/>
          </w:tcPr>
          <w:p w:rsidR="00EA545B" w:rsidRDefault="00EA545B" w:rsidP="00B40D61">
            <w:pPr>
              <w:jc w:val="right"/>
            </w:pPr>
            <w:r>
              <w:t>195,351</w:t>
            </w:r>
          </w:p>
        </w:tc>
      </w:tr>
      <w:tr w:rsidR="00EA545B" w:rsidTr="00B40D61">
        <w:tc>
          <w:tcPr>
            <w:tcW w:w="4788" w:type="dxa"/>
          </w:tcPr>
          <w:p w:rsidR="00EA545B" w:rsidRDefault="00EA545B" w:rsidP="00B40D61">
            <w:r>
              <w:t>Other intangibles</w:t>
            </w:r>
          </w:p>
        </w:tc>
        <w:tc>
          <w:tcPr>
            <w:tcW w:w="4788" w:type="dxa"/>
          </w:tcPr>
          <w:p w:rsidR="00EA545B" w:rsidRPr="008B5A08" w:rsidRDefault="00EA545B" w:rsidP="00B40D61">
            <w:pPr>
              <w:jc w:val="right"/>
              <w:rPr>
                <w:u w:val="single"/>
              </w:rPr>
            </w:pPr>
            <w:r w:rsidRPr="008B5A08">
              <w:rPr>
                <w:u w:val="single"/>
              </w:rPr>
              <w:t>97,668</w:t>
            </w:r>
          </w:p>
        </w:tc>
      </w:tr>
      <w:tr w:rsidR="00EA545B" w:rsidTr="00B40D61">
        <w:tc>
          <w:tcPr>
            <w:tcW w:w="4788" w:type="dxa"/>
          </w:tcPr>
          <w:p w:rsidR="00EA545B" w:rsidRDefault="00EA545B" w:rsidP="00B40D61"/>
        </w:tc>
        <w:tc>
          <w:tcPr>
            <w:tcW w:w="4788" w:type="dxa"/>
          </w:tcPr>
          <w:p w:rsidR="00EA545B" w:rsidRDefault="00EA545B" w:rsidP="00B40D61">
            <w:pPr>
              <w:jc w:val="right"/>
            </w:pPr>
            <w:r>
              <w:t>2,365,281</w:t>
            </w:r>
          </w:p>
        </w:tc>
      </w:tr>
      <w:tr w:rsidR="00EA545B" w:rsidTr="00B40D61">
        <w:tc>
          <w:tcPr>
            <w:tcW w:w="4788" w:type="dxa"/>
          </w:tcPr>
          <w:p w:rsidR="00EA545B" w:rsidRDefault="00EA545B" w:rsidP="00B40D61">
            <w:r>
              <w:t>Less: Accumulated amortization</w:t>
            </w:r>
          </w:p>
        </w:tc>
        <w:tc>
          <w:tcPr>
            <w:tcW w:w="4788" w:type="dxa"/>
          </w:tcPr>
          <w:p w:rsidR="00EA545B" w:rsidRPr="008B5A08" w:rsidRDefault="00E61AF8" w:rsidP="00B40D61">
            <w:pPr>
              <w:jc w:val="right"/>
              <w:rPr>
                <w:u w:val="single"/>
              </w:rPr>
            </w:pPr>
            <w:r>
              <w:rPr>
                <w:u w:val="single"/>
              </w:rPr>
              <w:t>(261,32</w:t>
            </w:r>
            <w:r w:rsidR="00EA545B" w:rsidRPr="008B5A08">
              <w:rPr>
                <w:u w:val="single"/>
              </w:rPr>
              <w:t>3)</w:t>
            </w:r>
          </w:p>
        </w:tc>
      </w:tr>
      <w:tr w:rsidR="00EA545B" w:rsidTr="00B40D61">
        <w:tc>
          <w:tcPr>
            <w:tcW w:w="4788" w:type="dxa"/>
          </w:tcPr>
          <w:p w:rsidR="00EA545B" w:rsidRDefault="00EA545B" w:rsidP="00B40D61">
            <w:r>
              <w:t>Intangible assets – net</w:t>
            </w:r>
          </w:p>
        </w:tc>
        <w:tc>
          <w:tcPr>
            <w:tcW w:w="4788" w:type="dxa"/>
          </w:tcPr>
          <w:p w:rsidR="00EA545B" w:rsidRPr="008B5A08" w:rsidRDefault="00E61AF8" w:rsidP="00B40D61">
            <w:pPr>
              <w:jc w:val="right"/>
              <w:rPr>
                <w:u w:val="double"/>
              </w:rPr>
            </w:pPr>
            <w:r>
              <w:rPr>
                <w:u w:val="double"/>
              </w:rPr>
              <w:t>$2,103,95</w:t>
            </w:r>
            <w:r w:rsidR="00EA545B" w:rsidRPr="008B5A08">
              <w:rPr>
                <w:u w:val="double"/>
              </w:rPr>
              <w:t>8</w:t>
            </w:r>
          </w:p>
        </w:tc>
      </w:tr>
    </w:tbl>
    <w:p w:rsidR="00EA545B" w:rsidRDefault="00EA545B" w:rsidP="00EA545B"/>
    <w:p w:rsidR="00EA545B" w:rsidRPr="006403D4" w:rsidRDefault="00EA545B" w:rsidP="00EA545B">
      <w:r>
        <w:t xml:space="preserve">Amortization expense on intangible assets for </w:t>
      </w:r>
      <w:r w:rsidR="00406A7C">
        <w:t>the year ended December 31, 2016 amounted to $142,540</w:t>
      </w:r>
      <w:r>
        <w:t>. Estimated annual amortization expense for each of the ensuing</w:t>
      </w:r>
      <w:r w:rsidR="00406A7C">
        <w:t xml:space="preserve"> years through December 31, 2021</w:t>
      </w:r>
      <w:r>
        <w:t xml:space="preserve"> amounts to $142,540. </w:t>
      </w:r>
    </w:p>
    <w:p w:rsidR="00EA545B" w:rsidRDefault="00EA545B" w:rsidP="00EA545B">
      <w:pPr>
        <w:pStyle w:val="Heading3"/>
      </w:pPr>
      <w:r>
        <w:t>NOTE 5 - PROPERTY AND EQUIPMENT</w:t>
      </w:r>
      <w:bookmarkEnd w:id="52"/>
    </w:p>
    <w:p w:rsidR="00EA545B" w:rsidRDefault="00EA545B" w:rsidP="00EA545B">
      <w:r>
        <w:t>Property and e</w:t>
      </w:r>
      <w:r w:rsidR="00406A7C">
        <w:t>quipment as of December 31, 2016</w:t>
      </w:r>
      <w:r>
        <w:t xml:space="preserve"> consists of the following:</w:t>
      </w:r>
    </w:p>
    <w:p w:rsidR="00EA545B" w:rsidRPr="009F7F9D" w:rsidRDefault="00EA545B" w:rsidP="00EA545B">
      <w:r>
        <w:t xml:space="preserve"> </w:t>
      </w:r>
    </w:p>
    <w:tbl>
      <w:tblPr>
        <w:tblStyle w:val="TableGrid"/>
        <w:tblW w:w="0" w:type="auto"/>
        <w:tblLook w:val="04A0" w:firstRow="1" w:lastRow="0" w:firstColumn="1" w:lastColumn="0" w:noHBand="0" w:noVBand="1"/>
      </w:tblPr>
      <w:tblGrid>
        <w:gridCol w:w="7848"/>
        <w:gridCol w:w="1728"/>
      </w:tblGrid>
      <w:tr w:rsidR="00EA545B" w:rsidTr="00B40D61">
        <w:tc>
          <w:tcPr>
            <w:tcW w:w="7848" w:type="dxa"/>
            <w:vAlign w:val="center"/>
          </w:tcPr>
          <w:p w:rsidR="00EA545B" w:rsidRDefault="00EA545B" w:rsidP="00B40D61">
            <w:r>
              <w:t>Office furniture and equipment</w:t>
            </w:r>
          </w:p>
        </w:tc>
        <w:tc>
          <w:tcPr>
            <w:tcW w:w="1728" w:type="dxa"/>
            <w:vAlign w:val="center"/>
          </w:tcPr>
          <w:p w:rsidR="00EA545B" w:rsidRDefault="00406A7C" w:rsidP="00B40D61">
            <w:pPr>
              <w:jc w:val="right"/>
            </w:pPr>
            <w:r>
              <w:t>$1,577,992</w:t>
            </w:r>
          </w:p>
        </w:tc>
      </w:tr>
      <w:tr w:rsidR="00EA545B" w:rsidRPr="00010700" w:rsidTr="00B40D61">
        <w:tc>
          <w:tcPr>
            <w:tcW w:w="7848" w:type="dxa"/>
            <w:vAlign w:val="center"/>
          </w:tcPr>
          <w:p w:rsidR="00EA545B" w:rsidRDefault="00EA545B" w:rsidP="00B40D61">
            <w:r>
              <w:t>Computer equipment</w:t>
            </w:r>
          </w:p>
        </w:tc>
        <w:tc>
          <w:tcPr>
            <w:tcW w:w="1728" w:type="dxa"/>
            <w:vAlign w:val="center"/>
          </w:tcPr>
          <w:p w:rsidR="00EA545B" w:rsidRPr="00010700" w:rsidRDefault="00EA545B" w:rsidP="00B40D61">
            <w:pPr>
              <w:jc w:val="right"/>
              <w:rPr>
                <w:u w:val="single"/>
              </w:rPr>
            </w:pPr>
            <w:r w:rsidRPr="00010700">
              <w:rPr>
                <w:u w:val="single"/>
              </w:rPr>
              <w:t>530,371</w:t>
            </w:r>
          </w:p>
        </w:tc>
      </w:tr>
      <w:tr w:rsidR="00EA545B" w:rsidTr="00B40D61">
        <w:tc>
          <w:tcPr>
            <w:tcW w:w="7848" w:type="dxa"/>
            <w:vAlign w:val="center"/>
          </w:tcPr>
          <w:p w:rsidR="00EA545B" w:rsidRDefault="00EA545B" w:rsidP="00B40D61">
            <w:r>
              <w:t>Total</w:t>
            </w:r>
          </w:p>
        </w:tc>
        <w:tc>
          <w:tcPr>
            <w:tcW w:w="1728" w:type="dxa"/>
            <w:vAlign w:val="center"/>
          </w:tcPr>
          <w:p w:rsidR="00EA545B" w:rsidRDefault="00406A7C" w:rsidP="00B40D61">
            <w:pPr>
              <w:jc w:val="right"/>
            </w:pPr>
            <w:r>
              <w:t>2,108,636</w:t>
            </w:r>
          </w:p>
        </w:tc>
      </w:tr>
      <w:tr w:rsidR="00EA545B" w:rsidTr="00B40D61">
        <w:tc>
          <w:tcPr>
            <w:tcW w:w="7848" w:type="dxa"/>
            <w:vAlign w:val="center"/>
          </w:tcPr>
          <w:p w:rsidR="00EA545B" w:rsidRDefault="00EA545B" w:rsidP="00B40D61">
            <w:r>
              <w:t>Less: Accumulated depreciation</w:t>
            </w:r>
          </w:p>
        </w:tc>
        <w:tc>
          <w:tcPr>
            <w:tcW w:w="1728" w:type="dxa"/>
            <w:vAlign w:val="center"/>
          </w:tcPr>
          <w:p w:rsidR="00EA545B" w:rsidRPr="00010700" w:rsidRDefault="00406A7C" w:rsidP="00B40D61">
            <w:pPr>
              <w:jc w:val="right"/>
              <w:rPr>
                <w:u w:val="single"/>
              </w:rPr>
            </w:pPr>
            <w:r>
              <w:rPr>
                <w:u w:val="single"/>
              </w:rPr>
              <w:t>(1,898,7</w:t>
            </w:r>
            <w:r w:rsidR="00EA545B">
              <w:rPr>
                <w:u w:val="single"/>
              </w:rPr>
              <w:t>4</w:t>
            </w:r>
            <w:r>
              <w:rPr>
                <w:u w:val="single"/>
              </w:rPr>
              <w:t>8</w:t>
            </w:r>
            <w:r w:rsidR="00EA545B" w:rsidRPr="00010700">
              <w:rPr>
                <w:u w:val="single"/>
              </w:rPr>
              <w:t>)</w:t>
            </w:r>
          </w:p>
        </w:tc>
      </w:tr>
      <w:tr w:rsidR="00EA545B" w:rsidTr="00B40D61">
        <w:trPr>
          <w:trHeight w:val="377"/>
        </w:trPr>
        <w:tc>
          <w:tcPr>
            <w:tcW w:w="7848" w:type="dxa"/>
            <w:vAlign w:val="center"/>
          </w:tcPr>
          <w:p w:rsidR="00EA545B" w:rsidRDefault="00EA545B" w:rsidP="00B40D61">
            <w:pPr>
              <w:ind w:left="360" w:hanging="90"/>
            </w:pPr>
            <w:r>
              <w:t>Property and equipment - net</w:t>
            </w:r>
          </w:p>
        </w:tc>
        <w:tc>
          <w:tcPr>
            <w:tcW w:w="1728" w:type="dxa"/>
            <w:vAlign w:val="center"/>
          </w:tcPr>
          <w:p w:rsidR="00EA545B" w:rsidRPr="00010700" w:rsidRDefault="00406A7C" w:rsidP="00B40D61">
            <w:pPr>
              <w:jc w:val="right"/>
              <w:rPr>
                <w:u w:val="double"/>
              </w:rPr>
            </w:pPr>
            <w:r>
              <w:rPr>
                <w:u w:val="double"/>
              </w:rPr>
              <w:t>$209,61</w:t>
            </w:r>
            <w:r w:rsidR="00EA545B">
              <w:rPr>
                <w:u w:val="double"/>
              </w:rPr>
              <w:t>5</w:t>
            </w:r>
          </w:p>
        </w:tc>
      </w:tr>
    </w:tbl>
    <w:p w:rsidR="00EA545B" w:rsidRDefault="00EA545B" w:rsidP="00EA545B">
      <w:pPr>
        <w:spacing w:before="240"/>
      </w:pPr>
      <w:r>
        <w:t xml:space="preserve">Depreciation expense for </w:t>
      </w:r>
      <w:r w:rsidR="00406A7C">
        <w:t>the year ended December 31, 2016</w:t>
      </w:r>
      <w:r>
        <w:t xml:space="preserve"> amounted to $</w:t>
      </w:r>
      <w:r w:rsidR="00406A7C">
        <w:t>67,420</w:t>
      </w:r>
      <w:r>
        <w:t>.</w:t>
      </w:r>
    </w:p>
    <w:p w:rsidR="00EA545B" w:rsidRDefault="00EA545B" w:rsidP="00EA545B">
      <w:pPr>
        <w:pStyle w:val="Heading3"/>
      </w:pPr>
      <w:bookmarkStart w:id="53" w:name="_Toc415727704"/>
      <w:r>
        <w:t>NOTE 6 - ALTERNATIVE INVESTMENTS</w:t>
      </w:r>
      <w:bookmarkEnd w:id="53"/>
    </w:p>
    <w:p w:rsidR="00EA545B" w:rsidRPr="0046285D" w:rsidRDefault="00EA545B" w:rsidP="00EA545B">
      <w:r w:rsidRPr="0046285D">
        <w:t xml:space="preserve">The Federation makes program-related investments to further its purpose of integrating the blind into society on the basis of equality. Such investments are made primarily to accomplish the Federation's program purpose </w:t>
      </w:r>
      <w:r>
        <w:t xml:space="preserve">rather than to produce income. As a result, changes in investments as a result of the investee's income or loss are reported as program costs in the </w:t>
      </w:r>
      <w:r w:rsidR="00406A7C">
        <w:t xml:space="preserve">consolidated </w:t>
      </w:r>
      <w:r>
        <w:t>statement of activities.</w:t>
      </w:r>
    </w:p>
    <w:p w:rsidR="00EA545B" w:rsidRPr="0046285D" w:rsidRDefault="00EA545B" w:rsidP="00EA545B"/>
    <w:p w:rsidR="00EA545B" w:rsidRDefault="00EA545B" w:rsidP="00EA545B">
      <w:pPr>
        <w:spacing w:after="240"/>
      </w:pPr>
      <w:r w:rsidRPr="0046285D">
        <w:t xml:space="preserve">The Federation has invested $125,000 in E.A.S.Y., LLC (EASY), to develop and market products to enhance the technologies for freehand tactile graphics. The Federation considers its investment in EASY to be a program-related investment made for the purpose of insuring that the blind have tools to produce, edit and communicate using freehand tactile drawings. The Federation has a twenty percent </w:t>
      </w:r>
      <w:r w:rsidRPr="0046285D">
        <w:lastRenderedPageBreak/>
        <w:t>(20%) interest and has the ability to exert significant influence. The investment is accounted for under the equity method of accounting.</w:t>
      </w:r>
      <w:r>
        <w:t xml:space="preserve"> </w:t>
      </w:r>
    </w:p>
    <w:p w:rsidR="00EA545B" w:rsidRDefault="00EA545B" w:rsidP="00EA545B">
      <w:pPr>
        <w:spacing w:after="240"/>
      </w:pPr>
      <w:r>
        <w:t xml:space="preserve">The Federation has invested $260,000 in Transforming Braille Group, LLC (TBG), to support and encourage the development of lower cost Braille devices, tools, and equipment. The Federation considers its investment in TBG to be a program-related investment made for the purpose of insuring that the blind have the ability to obtain Braille instruments. The Federation has a twenty-one percent (21%) interest and has the ability to exert significant influence. The investment is accounted for under the equity method of accounting. </w:t>
      </w:r>
    </w:p>
    <w:p w:rsidR="00EA545B" w:rsidRDefault="00EA545B" w:rsidP="00EA545B">
      <w:pPr>
        <w:spacing w:after="240"/>
      </w:pPr>
      <w:r>
        <w:t>The Federation's investments in joint ventures were as follows:</w:t>
      </w:r>
    </w:p>
    <w:tbl>
      <w:tblPr>
        <w:tblStyle w:val="TableGrid"/>
        <w:tblW w:w="0" w:type="auto"/>
        <w:tblLook w:val="04A0" w:firstRow="1" w:lastRow="0" w:firstColumn="1" w:lastColumn="0" w:noHBand="0" w:noVBand="1"/>
      </w:tblPr>
      <w:tblGrid>
        <w:gridCol w:w="4248"/>
        <w:gridCol w:w="2070"/>
        <w:gridCol w:w="1620"/>
        <w:gridCol w:w="1638"/>
      </w:tblGrid>
      <w:tr w:rsidR="00EA545B" w:rsidTr="00B40D61">
        <w:tc>
          <w:tcPr>
            <w:tcW w:w="4248" w:type="dxa"/>
          </w:tcPr>
          <w:p w:rsidR="00EA545B" w:rsidRDefault="00EA545B" w:rsidP="00B40D61"/>
        </w:tc>
        <w:tc>
          <w:tcPr>
            <w:tcW w:w="2070" w:type="dxa"/>
            <w:vAlign w:val="bottom"/>
          </w:tcPr>
          <w:p w:rsidR="00EA545B" w:rsidRDefault="00EA545B" w:rsidP="00B40D61">
            <w:pPr>
              <w:jc w:val="center"/>
            </w:pPr>
            <w:r>
              <w:t>EASY</w:t>
            </w:r>
          </w:p>
        </w:tc>
        <w:tc>
          <w:tcPr>
            <w:tcW w:w="1620" w:type="dxa"/>
            <w:vAlign w:val="bottom"/>
          </w:tcPr>
          <w:p w:rsidR="00EA545B" w:rsidRDefault="00EA545B" w:rsidP="00B40D61">
            <w:pPr>
              <w:jc w:val="center"/>
            </w:pPr>
            <w:r>
              <w:t>TBG</w:t>
            </w:r>
          </w:p>
        </w:tc>
        <w:tc>
          <w:tcPr>
            <w:tcW w:w="1638" w:type="dxa"/>
            <w:vAlign w:val="bottom"/>
          </w:tcPr>
          <w:p w:rsidR="00EA545B" w:rsidRDefault="00EA545B" w:rsidP="00B40D61">
            <w:pPr>
              <w:jc w:val="center"/>
            </w:pPr>
            <w:r>
              <w:t>Totals</w:t>
            </w:r>
          </w:p>
        </w:tc>
      </w:tr>
      <w:tr w:rsidR="00EA545B" w:rsidTr="00B40D61">
        <w:tc>
          <w:tcPr>
            <w:tcW w:w="4248" w:type="dxa"/>
            <w:vAlign w:val="bottom"/>
          </w:tcPr>
          <w:p w:rsidR="00EA545B" w:rsidRDefault="00406A7C" w:rsidP="00B40D61">
            <w:r>
              <w:t>Balance at December 31, 201</w:t>
            </w:r>
            <w:r w:rsidR="007A2974">
              <w:t>5</w:t>
            </w:r>
          </w:p>
        </w:tc>
        <w:tc>
          <w:tcPr>
            <w:tcW w:w="2070" w:type="dxa"/>
            <w:vAlign w:val="bottom"/>
          </w:tcPr>
          <w:p w:rsidR="00EA545B" w:rsidRDefault="007A2974" w:rsidP="00B40D61">
            <w:pPr>
              <w:jc w:val="center"/>
            </w:pPr>
            <w:r>
              <w:t>$90,491</w:t>
            </w:r>
          </w:p>
        </w:tc>
        <w:tc>
          <w:tcPr>
            <w:tcW w:w="1620" w:type="dxa"/>
            <w:vAlign w:val="bottom"/>
          </w:tcPr>
          <w:p w:rsidR="00EA545B" w:rsidRDefault="007A2974" w:rsidP="00B40D61">
            <w:pPr>
              <w:jc w:val="center"/>
            </w:pPr>
            <w:r>
              <w:t>$99,978</w:t>
            </w:r>
          </w:p>
        </w:tc>
        <w:tc>
          <w:tcPr>
            <w:tcW w:w="1638" w:type="dxa"/>
            <w:vAlign w:val="bottom"/>
          </w:tcPr>
          <w:p w:rsidR="00EA545B" w:rsidRDefault="007A2974" w:rsidP="00B40D61">
            <w:pPr>
              <w:jc w:val="center"/>
            </w:pPr>
            <w:r>
              <w:t>$1</w:t>
            </w:r>
            <w:r w:rsidR="00EA545B">
              <w:t>9</w:t>
            </w:r>
            <w:r>
              <w:t>0,469</w:t>
            </w:r>
          </w:p>
        </w:tc>
      </w:tr>
      <w:tr w:rsidR="00EA545B" w:rsidTr="00B40D61">
        <w:tc>
          <w:tcPr>
            <w:tcW w:w="4248" w:type="dxa"/>
            <w:vAlign w:val="bottom"/>
          </w:tcPr>
          <w:p w:rsidR="00EA545B" w:rsidRDefault="00EA545B" w:rsidP="00B40D61">
            <w:r>
              <w:t>Capital contributions</w:t>
            </w:r>
          </w:p>
        </w:tc>
        <w:tc>
          <w:tcPr>
            <w:tcW w:w="2070" w:type="dxa"/>
            <w:vAlign w:val="bottom"/>
          </w:tcPr>
          <w:p w:rsidR="00EA545B" w:rsidRDefault="00EA545B" w:rsidP="00B40D61">
            <w:pPr>
              <w:jc w:val="center"/>
            </w:pPr>
            <w:r>
              <w:t>--</w:t>
            </w:r>
          </w:p>
        </w:tc>
        <w:tc>
          <w:tcPr>
            <w:tcW w:w="1620" w:type="dxa"/>
            <w:vAlign w:val="bottom"/>
          </w:tcPr>
          <w:p w:rsidR="00EA545B" w:rsidRDefault="007A2974" w:rsidP="00B40D61">
            <w:pPr>
              <w:jc w:val="center"/>
            </w:pPr>
            <w:r>
              <w:t>--</w:t>
            </w:r>
          </w:p>
        </w:tc>
        <w:tc>
          <w:tcPr>
            <w:tcW w:w="1638" w:type="dxa"/>
            <w:vAlign w:val="bottom"/>
          </w:tcPr>
          <w:p w:rsidR="00EA545B" w:rsidRDefault="007A2974" w:rsidP="00B40D61">
            <w:pPr>
              <w:jc w:val="center"/>
            </w:pPr>
            <w:r>
              <w:t>--</w:t>
            </w:r>
          </w:p>
        </w:tc>
      </w:tr>
      <w:tr w:rsidR="00EA545B" w:rsidTr="00B40D61">
        <w:tc>
          <w:tcPr>
            <w:tcW w:w="4248" w:type="dxa"/>
            <w:vAlign w:val="bottom"/>
          </w:tcPr>
          <w:p w:rsidR="00EA545B" w:rsidRDefault="00EA545B" w:rsidP="00B40D61">
            <w:r>
              <w:t>Net income (loss)</w:t>
            </w:r>
          </w:p>
        </w:tc>
        <w:tc>
          <w:tcPr>
            <w:tcW w:w="2070" w:type="dxa"/>
            <w:vAlign w:val="bottom"/>
          </w:tcPr>
          <w:p w:rsidR="00EA545B" w:rsidRPr="00BA4F3C" w:rsidRDefault="007A2974" w:rsidP="00B40D61">
            <w:pPr>
              <w:jc w:val="center"/>
              <w:rPr>
                <w:u w:val="single"/>
              </w:rPr>
            </w:pPr>
            <w:r>
              <w:rPr>
                <w:u w:val="single"/>
              </w:rPr>
              <w:t>3,930</w:t>
            </w:r>
          </w:p>
        </w:tc>
        <w:tc>
          <w:tcPr>
            <w:tcW w:w="1620" w:type="dxa"/>
            <w:vAlign w:val="bottom"/>
          </w:tcPr>
          <w:p w:rsidR="00EA545B" w:rsidRPr="00BA4F3C" w:rsidRDefault="007A2974" w:rsidP="00B40D61">
            <w:pPr>
              <w:jc w:val="center"/>
              <w:rPr>
                <w:u w:val="single"/>
              </w:rPr>
            </w:pPr>
            <w:r>
              <w:rPr>
                <w:u w:val="single"/>
              </w:rPr>
              <w:t>(99,978</w:t>
            </w:r>
            <w:r w:rsidR="00EA545B">
              <w:rPr>
                <w:u w:val="single"/>
              </w:rPr>
              <w:t>)</w:t>
            </w:r>
          </w:p>
        </w:tc>
        <w:tc>
          <w:tcPr>
            <w:tcW w:w="1638" w:type="dxa"/>
            <w:vAlign w:val="bottom"/>
          </w:tcPr>
          <w:p w:rsidR="00EA545B" w:rsidRPr="00BA4F3C" w:rsidRDefault="007A2974" w:rsidP="00B40D61">
            <w:pPr>
              <w:jc w:val="center"/>
              <w:rPr>
                <w:u w:val="single"/>
              </w:rPr>
            </w:pPr>
            <w:r>
              <w:rPr>
                <w:u w:val="single"/>
              </w:rPr>
              <w:t>(96,048</w:t>
            </w:r>
            <w:r w:rsidR="00EA545B">
              <w:rPr>
                <w:u w:val="single"/>
              </w:rPr>
              <w:t>)</w:t>
            </w:r>
          </w:p>
        </w:tc>
      </w:tr>
      <w:tr w:rsidR="00EA545B" w:rsidTr="00B40D61">
        <w:trPr>
          <w:trHeight w:val="413"/>
        </w:trPr>
        <w:tc>
          <w:tcPr>
            <w:tcW w:w="4248" w:type="dxa"/>
            <w:vAlign w:val="center"/>
          </w:tcPr>
          <w:p w:rsidR="00EA545B" w:rsidRDefault="007A2974" w:rsidP="00B40D61">
            <w:pPr>
              <w:jc w:val="center"/>
            </w:pPr>
            <w:r>
              <w:t>Balance at December 31, 2016</w:t>
            </w:r>
          </w:p>
        </w:tc>
        <w:tc>
          <w:tcPr>
            <w:tcW w:w="2070" w:type="dxa"/>
            <w:vAlign w:val="center"/>
          </w:tcPr>
          <w:p w:rsidR="00EA545B" w:rsidRPr="00BA4F3C" w:rsidRDefault="007A2974" w:rsidP="00B40D61">
            <w:pPr>
              <w:jc w:val="center"/>
              <w:rPr>
                <w:u w:val="double"/>
              </w:rPr>
            </w:pPr>
            <w:r>
              <w:rPr>
                <w:u w:val="double"/>
              </w:rPr>
              <w:t>$94,42</w:t>
            </w:r>
            <w:r w:rsidR="00EA545B">
              <w:rPr>
                <w:u w:val="double"/>
              </w:rPr>
              <w:t>1</w:t>
            </w:r>
          </w:p>
        </w:tc>
        <w:tc>
          <w:tcPr>
            <w:tcW w:w="1620" w:type="dxa"/>
            <w:vAlign w:val="center"/>
          </w:tcPr>
          <w:p w:rsidR="00EA545B" w:rsidRPr="00BA4F3C" w:rsidRDefault="007A2974" w:rsidP="00B40D61">
            <w:pPr>
              <w:jc w:val="center"/>
              <w:rPr>
                <w:u w:val="double"/>
              </w:rPr>
            </w:pPr>
            <w:r>
              <w:rPr>
                <w:u w:val="double"/>
              </w:rPr>
              <w:t>$--</w:t>
            </w:r>
          </w:p>
        </w:tc>
        <w:tc>
          <w:tcPr>
            <w:tcW w:w="1638" w:type="dxa"/>
            <w:vAlign w:val="center"/>
          </w:tcPr>
          <w:p w:rsidR="00EA545B" w:rsidRPr="00BA4F3C" w:rsidRDefault="007A2974" w:rsidP="00B40D61">
            <w:pPr>
              <w:jc w:val="center"/>
              <w:rPr>
                <w:u w:val="double"/>
              </w:rPr>
            </w:pPr>
            <w:r>
              <w:rPr>
                <w:u w:val="double"/>
              </w:rPr>
              <w:t>$94,421</w:t>
            </w:r>
          </w:p>
        </w:tc>
      </w:tr>
    </w:tbl>
    <w:p w:rsidR="00EA545B" w:rsidRDefault="00EA545B" w:rsidP="00EA545B">
      <w:pPr>
        <w:spacing w:before="240" w:after="240"/>
      </w:pPr>
      <w:r>
        <w:t>The following is a summary of the Federation's join</w:t>
      </w:r>
      <w:r w:rsidR="007A2974">
        <w:t>t</w:t>
      </w:r>
      <w:r>
        <w:t xml:space="preserve"> ventures' condensed financial information as of and for </w:t>
      </w:r>
      <w:r w:rsidR="007A2974">
        <w:t>the year ended December 31, 2016</w:t>
      </w:r>
      <w:r>
        <w:t>:</w:t>
      </w:r>
    </w:p>
    <w:tbl>
      <w:tblPr>
        <w:tblStyle w:val="TableGrid"/>
        <w:tblW w:w="0" w:type="auto"/>
        <w:tblLook w:val="04A0" w:firstRow="1" w:lastRow="0" w:firstColumn="1" w:lastColumn="0" w:noHBand="0" w:noVBand="1"/>
      </w:tblPr>
      <w:tblGrid>
        <w:gridCol w:w="3192"/>
        <w:gridCol w:w="3192"/>
        <w:gridCol w:w="3192"/>
      </w:tblGrid>
      <w:tr w:rsidR="00EA545B" w:rsidTr="00B40D61">
        <w:trPr>
          <w:tblHeader/>
        </w:trPr>
        <w:tc>
          <w:tcPr>
            <w:tcW w:w="3192" w:type="dxa"/>
          </w:tcPr>
          <w:p w:rsidR="00EA545B" w:rsidRDefault="00EA545B" w:rsidP="00B40D61"/>
        </w:tc>
        <w:tc>
          <w:tcPr>
            <w:tcW w:w="3192" w:type="dxa"/>
            <w:vAlign w:val="center"/>
          </w:tcPr>
          <w:p w:rsidR="00EA545B" w:rsidRDefault="00EA545B" w:rsidP="00B40D61">
            <w:pPr>
              <w:jc w:val="center"/>
            </w:pPr>
            <w:r>
              <w:t>EASY</w:t>
            </w:r>
          </w:p>
        </w:tc>
        <w:tc>
          <w:tcPr>
            <w:tcW w:w="3192" w:type="dxa"/>
            <w:vAlign w:val="center"/>
          </w:tcPr>
          <w:p w:rsidR="00EA545B" w:rsidRDefault="00EA545B" w:rsidP="00B40D61">
            <w:pPr>
              <w:jc w:val="center"/>
            </w:pPr>
            <w:r>
              <w:t>TBG</w:t>
            </w:r>
          </w:p>
        </w:tc>
      </w:tr>
      <w:tr w:rsidR="00EA545B" w:rsidTr="00B40D61">
        <w:trPr>
          <w:trHeight w:val="413"/>
        </w:trPr>
        <w:tc>
          <w:tcPr>
            <w:tcW w:w="3192" w:type="dxa"/>
            <w:vAlign w:val="center"/>
          </w:tcPr>
          <w:p w:rsidR="00EA545B" w:rsidRDefault="00EA545B" w:rsidP="00B40D61">
            <w:r>
              <w:t>Assets</w:t>
            </w:r>
          </w:p>
        </w:tc>
        <w:tc>
          <w:tcPr>
            <w:tcW w:w="3192" w:type="dxa"/>
            <w:vAlign w:val="center"/>
          </w:tcPr>
          <w:p w:rsidR="00EA545B" w:rsidRPr="00BA4F3C" w:rsidRDefault="007A2974" w:rsidP="00B40D61">
            <w:pPr>
              <w:jc w:val="center"/>
              <w:rPr>
                <w:u w:val="double"/>
              </w:rPr>
            </w:pPr>
            <w:r>
              <w:rPr>
                <w:u w:val="double"/>
              </w:rPr>
              <w:t>$45,778</w:t>
            </w:r>
          </w:p>
        </w:tc>
        <w:tc>
          <w:tcPr>
            <w:tcW w:w="3192" w:type="dxa"/>
            <w:vAlign w:val="center"/>
          </w:tcPr>
          <w:p w:rsidR="00EA545B" w:rsidRPr="00BA4F3C" w:rsidRDefault="007A2974" w:rsidP="00B40D61">
            <w:pPr>
              <w:jc w:val="center"/>
              <w:rPr>
                <w:u w:val="double"/>
              </w:rPr>
            </w:pPr>
            <w:r>
              <w:rPr>
                <w:u w:val="double"/>
              </w:rPr>
              <w:t>$33,251</w:t>
            </w:r>
          </w:p>
        </w:tc>
      </w:tr>
      <w:tr w:rsidR="00EA545B" w:rsidTr="00B40D61">
        <w:tc>
          <w:tcPr>
            <w:tcW w:w="3192" w:type="dxa"/>
            <w:vAlign w:val="center"/>
          </w:tcPr>
          <w:p w:rsidR="00EA545B" w:rsidRDefault="00EA545B" w:rsidP="00B40D61">
            <w:r>
              <w:t>Liabilities</w:t>
            </w:r>
          </w:p>
        </w:tc>
        <w:tc>
          <w:tcPr>
            <w:tcW w:w="3192" w:type="dxa"/>
            <w:vAlign w:val="center"/>
          </w:tcPr>
          <w:p w:rsidR="00EA545B" w:rsidRDefault="007A2974" w:rsidP="00B40D61">
            <w:pPr>
              <w:jc w:val="center"/>
            </w:pPr>
            <w:r>
              <w:t>$94,556</w:t>
            </w:r>
          </w:p>
        </w:tc>
        <w:tc>
          <w:tcPr>
            <w:tcW w:w="3192" w:type="dxa"/>
            <w:vAlign w:val="center"/>
          </w:tcPr>
          <w:p w:rsidR="00EA545B" w:rsidRDefault="00EA545B" w:rsidP="00B40D61">
            <w:pPr>
              <w:jc w:val="center"/>
            </w:pPr>
            <w:r>
              <w:t>$--</w:t>
            </w:r>
          </w:p>
        </w:tc>
      </w:tr>
      <w:tr w:rsidR="00EA545B" w:rsidTr="00B40D61">
        <w:tc>
          <w:tcPr>
            <w:tcW w:w="3192" w:type="dxa"/>
            <w:vAlign w:val="center"/>
          </w:tcPr>
          <w:p w:rsidR="00EA545B" w:rsidRDefault="00EA545B" w:rsidP="00B40D61">
            <w:r>
              <w:t>Equity</w:t>
            </w:r>
          </w:p>
        </w:tc>
        <w:tc>
          <w:tcPr>
            <w:tcW w:w="3192" w:type="dxa"/>
            <w:vAlign w:val="center"/>
          </w:tcPr>
          <w:p w:rsidR="00EA545B" w:rsidRPr="00BA4F3C" w:rsidRDefault="007A2974" w:rsidP="00B40D61">
            <w:pPr>
              <w:jc w:val="center"/>
              <w:rPr>
                <w:u w:val="single"/>
              </w:rPr>
            </w:pPr>
            <w:r>
              <w:rPr>
                <w:u w:val="single"/>
              </w:rPr>
              <w:t>(48,778</w:t>
            </w:r>
            <w:r w:rsidR="00EA545B">
              <w:rPr>
                <w:u w:val="single"/>
              </w:rPr>
              <w:t>)</w:t>
            </w:r>
          </w:p>
        </w:tc>
        <w:tc>
          <w:tcPr>
            <w:tcW w:w="3192" w:type="dxa"/>
            <w:vAlign w:val="center"/>
          </w:tcPr>
          <w:p w:rsidR="00EA545B" w:rsidRPr="00BA4F3C" w:rsidRDefault="007A2974" w:rsidP="00B40D61">
            <w:pPr>
              <w:jc w:val="center"/>
              <w:rPr>
                <w:u w:val="single"/>
              </w:rPr>
            </w:pPr>
            <w:r>
              <w:rPr>
                <w:u w:val="single"/>
              </w:rPr>
              <w:t>33,251</w:t>
            </w:r>
          </w:p>
        </w:tc>
      </w:tr>
      <w:tr w:rsidR="00EA545B" w:rsidTr="00B40D61">
        <w:trPr>
          <w:trHeight w:val="395"/>
        </w:trPr>
        <w:tc>
          <w:tcPr>
            <w:tcW w:w="3192" w:type="dxa"/>
            <w:vAlign w:val="center"/>
          </w:tcPr>
          <w:p w:rsidR="00EA545B" w:rsidRDefault="00EA545B" w:rsidP="00B40D61">
            <w:r>
              <w:t>Total liabilities and equity</w:t>
            </w:r>
          </w:p>
        </w:tc>
        <w:tc>
          <w:tcPr>
            <w:tcW w:w="3192" w:type="dxa"/>
            <w:vAlign w:val="center"/>
          </w:tcPr>
          <w:p w:rsidR="00EA545B" w:rsidRPr="00BA4F3C" w:rsidRDefault="007A2974" w:rsidP="00B40D61">
            <w:pPr>
              <w:jc w:val="center"/>
              <w:rPr>
                <w:u w:val="double"/>
              </w:rPr>
            </w:pPr>
            <w:r>
              <w:rPr>
                <w:u w:val="double"/>
              </w:rPr>
              <w:t>$45,778</w:t>
            </w:r>
          </w:p>
        </w:tc>
        <w:tc>
          <w:tcPr>
            <w:tcW w:w="3192" w:type="dxa"/>
            <w:vAlign w:val="center"/>
          </w:tcPr>
          <w:p w:rsidR="00EA545B" w:rsidRPr="00BA4F3C" w:rsidRDefault="007A2974" w:rsidP="00B40D61">
            <w:pPr>
              <w:jc w:val="center"/>
              <w:rPr>
                <w:u w:val="double"/>
              </w:rPr>
            </w:pPr>
            <w:r>
              <w:rPr>
                <w:u w:val="double"/>
              </w:rPr>
              <w:t>$33,251</w:t>
            </w:r>
          </w:p>
        </w:tc>
      </w:tr>
      <w:tr w:rsidR="00EA545B" w:rsidTr="00B40D61">
        <w:tc>
          <w:tcPr>
            <w:tcW w:w="3192" w:type="dxa"/>
            <w:vAlign w:val="center"/>
          </w:tcPr>
          <w:p w:rsidR="00EA545B" w:rsidRDefault="00EA545B" w:rsidP="00B40D61">
            <w:r>
              <w:t>Revenue</w:t>
            </w:r>
          </w:p>
        </w:tc>
        <w:tc>
          <w:tcPr>
            <w:tcW w:w="3192" w:type="dxa"/>
            <w:vAlign w:val="center"/>
          </w:tcPr>
          <w:p w:rsidR="00EA545B" w:rsidRDefault="007A2974" w:rsidP="00B40D61">
            <w:pPr>
              <w:jc w:val="center"/>
            </w:pPr>
            <w:r>
              <w:t>$473,006</w:t>
            </w:r>
          </w:p>
        </w:tc>
        <w:tc>
          <w:tcPr>
            <w:tcW w:w="3192" w:type="dxa"/>
            <w:vAlign w:val="center"/>
          </w:tcPr>
          <w:p w:rsidR="00EA545B" w:rsidRDefault="007A2974" w:rsidP="00B40D61">
            <w:pPr>
              <w:jc w:val="center"/>
            </w:pPr>
            <w:r>
              <w:t>$11,527</w:t>
            </w:r>
          </w:p>
        </w:tc>
      </w:tr>
      <w:tr w:rsidR="00EA545B" w:rsidTr="00B40D61">
        <w:trPr>
          <w:trHeight w:val="386"/>
        </w:trPr>
        <w:tc>
          <w:tcPr>
            <w:tcW w:w="3192" w:type="dxa"/>
            <w:vAlign w:val="center"/>
          </w:tcPr>
          <w:p w:rsidR="00EA545B" w:rsidRDefault="00EA545B" w:rsidP="00B40D61">
            <w:r>
              <w:t>Expenses</w:t>
            </w:r>
          </w:p>
        </w:tc>
        <w:tc>
          <w:tcPr>
            <w:tcW w:w="3192" w:type="dxa"/>
            <w:vAlign w:val="center"/>
          </w:tcPr>
          <w:p w:rsidR="00EA545B" w:rsidRPr="00BA4F3C" w:rsidRDefault="007A2974" w:rsidP="00B40D61">
            <w:pPr>
              <w:jc w:val="center"/>
              <w:rPr>
                <w:u w:val="single"/>
              </w:rPr>
            </w:pPr>
            <w:r>
              <w:rPr>
                <w:u w:val="single"/>
              </w:rPr>
              <w:t>(453,356</w:t>
            </w:r>
            <w:r w:rsidR="00EA545B">
              <w:rPr>
                <w:u w:val="single"/>
              </w:rPr>
              <w:t>)</w:t>
            </w:r>
          </w:p>
        </w:tc>
        <w:tc>
          <w:tcPr>
            <w:tcW w:w="3192" w:type="dxa"/>
            <w:vAlign w:val="center"/>
          </w:tcPr>
          <w:p w:rsidR="00EA545B" w:rsidRPr="00BA4F3C" w:rsidRDefault="007A2974" w:rsidP="00B40D61">
            <w:pPr>
              <w:jc w:val="center"/>
              <w:rPr>
                <w:u w:val="single"/>
              </w:rPr>
            </w:pPr>
            <w:r>
              <w:rPr>
                <w:u w:val="single"/>
              </w:rPr>
              <w:t>(501,652</w:t>
            </w:r>
            <w:r w:rsidR="00EA545B">
              <w:rPr>
                <w:u w:val="single"/>
              </w:rPr>
              <w:t>)</w:t>
            </w:r>
          </w:p>
        </w:tc>
      </w:tr>
      <w:tr w:rsidR="00EA545B" w:rsidTr="00B40D61">
        <w:trPr>
          <w:trHeight w:val="494"/>
        </w:trPr>
        <w:tc>
          <w:tcPr>
            <w:tcW w:w="3192" w:type="dxa"/>
            <w:vAlign w:val="center"/>
          </w:tcPr>
          <w:p w:rsidR="00EA545B" w:rsidRDefault="00EA545B" w:rsidP="00B40D61">
            <w:r>
              <w:t>Net income (loss)</w:t>
            </w:r>
          </w:p>
        </w:tc>
        <w:tc>
          <w:tcPr>
            <w:tcW w:w="3192" w:type="dxa"/>
            <w:vAlign w:val="center"/>
          </w:tcPr>
          <w:p w:rsidR="00EA545B" w:rsidRPr="00BA4F3C" w:rsidRDefault="007A2974" w:rsidP="00B40D61">
            <w:pPr>
              <w:jc w:val="center"/>
              <w:rPr>
                <w:u w:val="double"/>
              </w:rPr>
            </w:pPr>
            <w:r>
              <w:rPr>
                <w:u w:val="double"/>
              </w:rPr>
              <w:t>$19,65</w:t>
            </w:r>
            <w:r w:rsidR="00EA545B">
              <w:rPr>
                <w:u w:val="double"/>
              </w:rPr>
              <w:t>0</w:t>
            </w:r>
          </w:p>
        </w:tc>
        <w:tc>
          <w:tcPr>
            <w:tcW w:w="3192" w:type="dxa"/>
            <w:vAlign w:val="center"/>
          </w:tcPr>
          <w:p w:rsidR="00EA545B" w:rsidRPr="00BA4F3C" w:rsidRDefault="007A2974" w:rsidP="00B40D61">
            <w:pPr>
              <w:jc w:val="center"/>
              <w:rPr>
                <w:u w:val="double"/>
              </w:rPr>
            </w:pPr>
            <w:r>
              <w:rPr>
                <w:u w:val="double"/>
              </w:rPr>
              <w:t>$(</w:t>
            </w:r>
            <w:r w:rsidR="00EA545B">
              <w:rPr>
                <w:u w:val="double"/>
              </w:rPr>
              <w:t>49</w:t>
            </w:r>
            <w:r>
              <w:rPr>
                <w:u w:val="double"/>
              </w:rPr>
              <w:t>0,125</w:t>
            </w:r>
            <w:r w:rsidR="00EA545B">
              <w:rPr>
                <w:u w:val="double"/>
              </w:rPr>
              <w:t>)</w:t>
            </w:r>
          </w:p>
        </w:tc>
      </w:tr>
    </w:tbl>
    <w:p w:rsidR="00EA545B" w:rsidRDefault="00EA545B" w:rsidP="00EA545B">
      <w:pPr>
        <w:pStyle w:val="Heading3"/>
      </w:pPr>
      <w:bookmarkStart w:id="54" w:name="_Toc415727708"/>
      <w:r>
        <w:t>NOTE 7 - FAIR VALUE MEASUREMENTS</w:t>
      </w:r>
      <w:bookmarkEnd w:id="54"/>
    </w:p>
    <w:p w:rsidR="00EA545B" w:rsidRPr="00AC4AD6" w:rsidRDefault="00EA545B" w:rsidP="00EA545B">
      <w:pPr>
        <w:pStyle w:val="NoSpacing"/>
      </w:pPr>
      <w:r w:rsidRPr="00AC4AD6">
        <w:t>The Federation accounts for the fair value of its investments under the Fair Value Measurement and Disclosure topic of the FASB Accounting Standards Codification, which provides the framework for measuring fair value. That framework provides a fair value hierarchy that prioritizes the inputs to valuation techniques used to measure fair value. The hierarchy gives the highest priority to unadjusted quoted prices in active markets for identical</w:t>
      </w:r>
      <w:r w:rsidR="007A2974">
        <w:t xml:space="preserve"> assets or liabilities (level 1 </w:t>
      </w:r>
      <w:proofErr w:type="gramStart"/>
      <w:r w:rsidRPr="00AC4AD6">
        <w:t>measurements</w:t>
      </w:r>
      <w:proofErr w:type="gramEnd"/>
      <w:r w:rsidRPr="00AC4AD6">
        <w:t xml:space="preserve">) and the lowest </w:t>
      </w:r>
      <w:r w:rsidRPr="00285FD8">
        <w:t>priority</w:t>
      </w:r>
      <w:r w:rsidRPr="00AC4AD6">
        <w:t xml:space="preserve"> to unobservable inputs (level 3 </w:t>
      </w:r>
      <w:r w:rsidRPr="00AC4AD6">
        <w:lastRenderedPageBreak/>
        <w:t xml:space="preserve">measurements). The three (3) levels of the fair value hierarchy under </w:t>
      </w:r>
      <w:r>
        <w:t>t</w:t>
      </w:r>
      <w:r w:rsidRPr="00AC4AD6">
        <w:t>his guidance are described as follows:</w:t>
      </w:r>
    </w:p>
    <w:p w:rsidR="00EA545B" w:rsidRPr="00996EB2" w:rsidRDefault="00EA545B" w:rsidP="00EA545B">
      <w:pPr>
        <w:pStyle w:val="Heading4"/>
        <w:ind w:left="360"/>
      </w:pPr>
      <w:bookmarkStart w:id="55" w:name="_Toc415727709"/>
      <w:r w:rsidRPr="00996EB2">
        <w:t>Level 1</w:t>
      </w:r>
      <w:bookmarkEnd w:id="55"/>
    </w:p>
    <w:p w:rsidR="00EA545B" w:rsidRDefault="00EA545B" w:rsidP="00EA545B">
      <w:pPr>
        <w:pStyle w:val="NoSpacing"/>
        <w:ind w:left="360"/>
      </w:pPr>
      <w:r w:rsidRPr="00AC4AD6">
        <w:t>Inputs to the valuation methodology are unadjusted quoted prices for identical assets or liabilities in active markets that the Federation has the ability to access.</w:t>
      </w:r>
    </w:p>
    <w:p w:rsidR="00EA545B" w:rsidRPr="00996EB2" w:rsidRDefault="00EA545B" w:rsidP="00EA545B">
      <w:pPr>
        <w:pStyle w:val="Heading4"/>
        <w:ind w:left="360"/>
      </w:pPr>
      <w:bookmarkStart w:id="56" w:name="_Toc415727710"/>
      <w:r w:rsidRPr="00996EB2">
        <w:t>Level 2</w:t>
      </w:r>
      <w:bookmarkEnd w:id="56"/>
    </w:p>
    <w:p w:rsidR="00EA545B" w:rsidRPr="00AC4AD6" w:rsidRDefault="00EA545B" w:rsidP="00EA545B">
      <w:pPr>
        <w:pStyle w:val="NoSpacing"/>
        <w:ind w:left="360"/>
      </w:pPr>
      <w:r w:rsidRPr="00AC4AD6">
        <w:t xml:space="preserve">Inputs to the valuation methodology include: </w:t>
      </w:r>
    </w:p>
    <w:p w:rsidR="00EA545B" w:rsidRPr="00AC4AD6" w:rsidRDefault="00EA545B" w:rsidP="00EA545B">
      <w:pPr>
        <w:pStyle w:val="NoSpacing"/>
        <w:numPr>
          <w:ilvl w:val="0"/>
          <w:numId w:val="1"/>
        </w:numPr>
        <w:spacing w:after="0"/>
        <w:ind w:left="1080"/>
      </w:pPr>
      <w:r w:rsidRPr="00AC4AD6">
        <w:t xml:space="preserve">quoted prices for similar assets or liabilities in active markets; </w:t>
      </w:r>
    </w:p>
    <w:p w:rsidR="00EA545B" w:rsidRPr="00AC4AD6" w:rsidRDefault="00EA545B" w:rsidP="00EA545B">
      <w:pPr>
        <w:pStyle w:val="NoSpacing"/>
        <w:numPr>
          <w:ilvl w:val="0"/>
          <w:numId w:val="1"/>
        </w:numPr>
        <w:spacing w:after="0"/>
        <w:ind w:left="1080"/>
      </w:pPr>
      <w:r w:rsidRPr="00AC4AD6">
        <w:t xml:space="preserve">quoted prices for identical or similar assets or liabilities in inactive markets; </w:t>
      </w:r>
    </w:p>
    <w:p w:rsidR="00EA545B" w:rsidRPr="00AC4AD6" w:rsidRDefault="00EA545B" w:rsidP="00EA545B">
      <w:pPr>
        <w:pStyle w:val="NoSpacing"/>
        <w:numPr>
          <w:ilvl w:val="0"/>
          <w:numId w:val="1"/>
        </w:numPr>
        <w:spacing w:after="0"/>
        <w:ind w:left="1080"/>
      </w:pPr>
      <w:r w:rsidRPr="00AC4AD6">
        <w:t>inputs other than quoted prices that are observable for the asset or liability; and</w:t>
      </w:r>
    </w:p>
    <w:p w:rsidR="00EA545B" w:rsidRPr="00AC4AD6" w:rsidRDefault="00EA545B" w:rsidP="00EA545B">
      <w:pPr>
        <w:pStyle w:val="NoSpacing"/>
        <w:numPr>
          <w:ilvl w:val="0"/>
          <w:numId w:val="1"/>
        </w:numPr>
        <w:spacing w:after="0"/>
        <w:ind w:left="1080"/>
      </w:pPr>
      <w:r w:rsidRPr="00AC4AD6">
        <w:t>inputs that are derived principally from or corroborated by observable market data by correlation or other means.</w:t>
      </w:r>
    </w:p>
    <w:p w:rsidR="00EA545B" w:rsidRPr="00AC4AD6" w:rsidRDefault="00EA545B" w:rsidP="00EA545B">
      <w:pPr>
        <w:pStyle w:val="NoSpacing"/>
        <w:ind w:left="360"/>
      </w:pPr>
    </w:p>
    <w:p w:rsidR="00EA545B" w:rsidRPr="00AC4AD6" w:rsidRDefault="00EA545B" w:rsidP="00EA545B">
      <w:pPr>
        <w:pStyle w:val="NoSpacing"/>
        <w:ind w:left="360"/>
      </w:pPr>
      <w:r w:rsidRPr="00AC4AD6">
        <w:t>If the asset or liability has a specified (contractual) term, the level 2 input must be observable for substantially the full term of the asset or liability.</w:t>
      </w:r>
    </w:p>
    <w:p w:rsidR="00EA545B" w:rsidRPr="00996EB2" w:rsidRDefault="00EA545B" w:rsidP="00EA545B">
      <w:pPr>
        <w:pStyle w:val="Heading4"/>
        <w:ind w:left="360"/>
      </w:pPr>
      <w:bookmarkStart w:id="57" w:name="_Toc415727711"/>
      <w:r w:rsidRPr="00996EB2">
        <w:t>Level 3</w:t>
      </w:r>
      <w:bookmarkEnd w:id="57"/>
    </w:p>
    <w:p w:rsidR="00EA545B" w:rsidRPr="00AC4AD6" w:rsidRDefault="00EA545B" w:rsidP="00EA545B">
      <w:pPr>
        <w:pStyle w:val="NoSpacing"/>
        <w:ind w:left="360"/>
      </w:pPr>
      <w:r w:rsidRPr="00AC4AD6">
        <w:t>Inputs to the valuation methodology are unobservable and significant to the fair value measurement.</w:t>
      </w:r>
    </w:p>
    <w:p w:rsidR="00EA545B" w:rsidRDefault="00EA545B" w:rsidP="00EA545B">
      <w:pPr>
        <w:pStyle w:val="NoSpacing"/>
      </w:pPr>
      <w:r w:rsidRPr="00AC4AD6">
        <w:t>The asset or liability's fair value measurement level within the fair value hierarchy is based on the lowest level of any input that is significant to the fair value measurement. Valuation techniques used need to maximize the use of observable inputs and minimize the use of unobservable inputs.</w:t>
      </w:r>
    </w:p>
    <w:p w:rsidR="00EA545B" w:rsidRDefault="00EA545B" w:rsidP="00EA545B">
      <w:pPr>
        <w:pStyle w:val="NoSpacing"/>
      </w:pPr>
      <w:r>
        <w:t>The following is a description of the valuation methodologies used for assets and liabilities measured at fair value:</w:t>
      </w:r>
    </w:p>
    <w:p w:rsidR="00EA545B" w:rsidRDefault="00EA545B" w:rsidP="00EA545B">
      <w:pPr>
        <w:pStyle w:val="NoSpacing"/>
        <w:rPr>
          <w:i/>
        </w:rPr>
      </w:pPr>
      <w:r>
        <w:rPr>
          <w:i/>
        </w:rPr>
        <w:t xml:space="preserve">Accrued annuity benefit: </w:t>
      </w:r>
      <w:r w:rsidRPr="0015756E">
        <w:t>Valued at the present value of expected future cash payments discounted using the interest rates at the time of the gift and actuarial assumptions.</w:t>
      </w:r>
    </w:p>
    <w:p w:rsidR="00EA545B" w:rsidRDefault="00EA545B" w:rsidP="00EA545B">
      <w:pPr>
        <w:pStyle w:val="NoSpacing"/>
      </w:pPr>
      <w:r>
        <w:rPr>
          <w:i/>
        </w:rPr>
        <w:t xml:space="preserve">Alternative investments: </w:t>
      </w:r>
      <w:r>
        <w:t>Valued using the equity method of accounting.</w:t>
      </w:r>
    </w:p>
    <w:p w:rsidR="00EA545B" w:rsidRPr="00EE5ED4" w:rsidRDefault="00EA545B" w:rsidP="00EA545B">
      <w:pPr>
        <w:pStyle w:val="NoSpacing"/>
      </w:pPr>
      <w:r>
        <w:rPr>
          <w:i/>
        </w:rPr>
        <w:lastRenderedPageBreak/>
        <w:t xml:space="preserve">Mutual funds: </w:t>
      </w:r>
      <w:r>
        <w:t>Valued at quoted prices for identical assets in active markets.</w:t>
      </w:r>
    </w:p>
    <w:p w:rsidR="00EA545B" w:rsidRDefault="00EA545B" w:rsidP="00EA545B">
      <w:pPr>
        <w:pStyle w:val="NoSpacing"/>
      </w:pPr>
      <w:r>
        <w:rPr>
          <w:i/>
        </w:rPr>
        <w:t xml:space="preserve">Corporate bonds and government securities: </w:t>
      </w:r>
      <w:r>
        <w:t>Valued at quoted prices for similar assets in active markets.</w:t>
      </w:r>
    </w:p>
    <w:p w:rsidR="00EA545B" w:rsidRDefault="00EA545B" w:rsidP="00EA545B">
      <w:pPr>
        <w:pStyle w:val="NoSpacing"/>
      </w:pPr>
      <w:r>
        <w:rPr>
          <w:i/>
        </w:rPr>
        <w:t xml:space="preserve">Investments in life insurance: </w:t>
      </w:r>
      <w:r>
        <w:t>Valued at accumulated value, net of surrender charges.</w:t>
      </w:r>
    </w:p>
    <w:p w:rsidR="00EA545B" w:rsidRDefault="00EA545B" w:rsidP="00EA545B">
      <w:pPr>
        <w:pStyle w:val="NoSpacing"/>
      </w:pPr>
      <w:r>
        <w:t>The preceding methods described may produce a fair value calculation that may not be indicative of net realizable value or reflective of future fair values. Furthermore, although the Federation's management believes its valuation methods are appropriate and consistent with other market participants, the use of different methodologies or assumptions to determine the fair value of certain financial instruments could result in a different fair value measurement at the reporting date.</w:t>
      </w:r>
    </w:p>
    <w:p w:rsidR="00EA545B" w:rsidRDefault="00EA545B" w:rsidP="00EA545B">
      <w:pPr>
        <w:pStyle w:val="NoSpacing"/>
      </w:pPr>
      <w:r>
        <w:t>There have been no changes in the methodo</w:t>
      </w:r>
      <w:r w:rsidR="00851B06">
        <w:t>logies used at December 31, 2016</w:t>
      </w:r>
      <w:r>
        <w:t>. Such information is the responsibility of management and was derived from and relates directly to the underlying accounting and other records used to prepare the consolidated financial statements.</w:t>
      </w:r>
    </w:p>
    <w:p w:rsidR="00EA545B" w:rsidRDefault="00EA545B" w:rsidP="00EA545B">
      <w:pPr>
        <w:pStyle w:val="NoSpacing"/>
      </w:pPr>
      <w:r>
        <w:t>The following table sets forth by level, within the fair value hierarchy, the Federation's assets and liabilities at</w:t>
      </w:r>
      <w:r w:rsidR="00851B06">
        <w:t xml:space="preserve"> fair value at December 31, 2016</w:t>
      </w:r>
      <w:r>
        <w:t>:</w:t>
      </w:r>
    </w:p>
    <w:tbl>
      <w:tblPr>
        <w:tblStyle w:val="TableGrid"/>
        <w:tblW w:w="0" w:type="auto"/>
        <w:tblLook w:val="04A0" w:firstRow="1" w:lastRow="0" w:firstColumn="1" w:lastColumn="0" w:noHBand="0" w:noVBand="1"/>
      </w:tblPr>
      <w:tblGrid>
        <w:gridCol w:w="3190"/>
        <w:gridCol w:w="1616"/>
        <w:gridCol w:w="1476"/>
        <w:gridCol w:w="1678"/>
        <w:gridCol w:w="1616"/>
      </w:tblGrid>
      <w:tr w:rsidR="00EA545B" w:rsidTr="00B40D61">
        <w:trPr>
          <w:trHeight w:val="422"/>
          <w:tblHeader/>
        </w:trPr>
        <w:tc>
          <w:tcPr>
            <w:tcW w:w="3190" w:type="dxa"/>
            <w:vAlign w:val="center"/>
          </w:tcPr>
          <w:p w:rsidR="00EA545B" w:rsidRPr="004B70C4" w:rsidRDefault="00EA545B" w:rsidP="00B40D61">
            <w:pPr>
              <w:pStyle w:val="NoSpacing"/>
              <w:spacing w:after="0"/>
              <w:jc w:val="center"/>
              <w:rPr>
                <w:b/>
              </w:rPr>
            </w:pPr>
            <w:proofErr w:type="spellStart"/>
            <w:r w:rsidRPr="004B70C4">
              <w:rPr>
                <w:b/>
              </w:rPr>
              <w:t>Payor</w:t>
            </w:r>
            <w:proofErr w:type="spellEnd"/>
            <w:r w:rsidRPr="004B70C4">
              <w:rPr>
                <w:b/>
              </w:rPr>
              <w:t xml:space="preserve"> Class</w:t>
            </w:r>
          </w:p>
        </w:tc>
        <w:tc>
          <w:tcPr>
            <w:tcW w:w="1616" w:type="dxa"/>
            <w:vAlign w:val="center"/>
          </w:tcPr>
          <w:p w:rsidR="00EA545B" w:rsidRPr="004B70C4" w:rsidRDefault="00EA545B" w:rsidP="00B40D61">
            <w:pPr>
              <w:pStyle w:val="NoSpacing"/>
              <w:spacing w:after="0"/>
              <w:jc w:val="center"/>
              <w:rPr>
                <w:b/>
              </w:rPr>
            </w:pPr>
            <w:r w:rsidRPr="004B70C4">
              <w:rPr>
                <w:b/>
              </w:rPr>
              <w:t>Level 1</w:t>
            </w:r>
          </w:p>
        </w:tc>
        <w:tc>
          <w:tcPr>
            <w:tcW w:w="1476" w:type="dxa"/>
            <w:vAlign w:val="center"/>
          </w:tcPr>
          <w:p w:rsidR="00EA545B" w:rsidRPr="004B70C4" w:rsidRDefault="00EA545B" w:rsidP="00B40D61">
            <w:pPr>
              <w:pStyle w:val="NoSpacing"/>
              <w:spacing w:after="0"/>
              <w:jc w:val="center"/>
              <w:rPr>
                <w:b/>
              </w:rPr>
            </w:pPr>
            <w:r w:rsidRPr="004B70C4">
              <w:rPr>
                <w:b/>
              </w:rPr>
              <w:t>Level 2</w:t>
            </w:r>
          </w:p>
        </w:tc>
        <w:tc>
          <w:tcPr>
            <w:tcW w:w="1678" w:type="dxa"/>
            <w:vAlign w:val="center"/>
          </w:tcPr>
          <w:p w:rsidR="00EA545B" w:rsidRPr="004B70C4" w:rsidRDefault="00EA545B" w:rsidP="00B40D61">
            <w:pPr>
              <w:pStyle w:val="NoSpacing"/>
              <w:spacing w:after="0"/>
              <w:jc w:val="center"/>
              <w:rPr>
                <w:b/>
              </w:rPr>
            </w:pPr>
            <w:r w:rsidRPr="004B70C4">
              <w:rPr>
                <w:b/>
              </w:rPr>
              <w:t>Level 3</w:t>
            </w:r>
          </w:p>
        </w:tc>
        <w:tc>
          <w:tcPr>
            <w:tcW w:w="1616" w:type="dxa"/>
            <w:vAlign w:val="center"/>
          </w:tcPr>
          <w:p w:rsidR="00EA545B" w:rsidRPr="004B70C4" w:rsidRDefault="00EA545B" w:rsidP="00B40D61">
            <w:pPr>
              <w:pStyle w:val="NoSpacing"/>
              <w:spacing w:after="0"/>
              <w:jc w:val="center"/>
              <w:rPr>
                <w:b/>
              </w:rPr>
            </w:pPr>
            <w:r w:rsidRPr="004B70C4">
              <w:rPr>
                <w:b/>
              </w:rPr>
              <w:t>Fair Value</w:t>
            </w:r>
          </w:p>
        </w:tc>
      </w:tr>
      <w:tr w:rsidR="00EA545B" w:rsidTr="00B40D61">
        <w:trPr>
          <w:cantSplit/>
          <w:trHeight w:val="359"/>
        </w:trPr>
        <w:tc>
          <w:tcPr>
            <w:tcW w:w="9576" w:type="dxa"/>
            <w:gridSpan w:val="5"/>
          </w:tcPr>
          <w:p w:rsidR="00EA545B" w:rsidRDefault="00EA545B" w:rsidP="00B40D61">
            <w:pPr>
              <w:pStyle w:val="NoSpacing"/>
              <w:spacing w:after="0"/>
            </w:pPr>
            <w:r w:rsidRPr="001636DC">
              <w:rPr>
                <w:u w:val="single"/>
              </w:rPr>
              <w:t>Assets</w:t>
            </w:r>
            <w:r>
              <w:t>:</w:t>
            </w:r>
          </w:p>
        </w:tc>
      </w:tr>
      <w:tr w:rsidR="00EA545B" w:rsidTr="00B40D61">
        <w:trPr>
          <w:cantSplit/>
          <w:trHeight w:val="377"/>
        </w:trPr>
        <w:tc>
          <w:tcPr>
            <w:tcW w:w="3190" w:type="dxa"/>
            <w:vAlign w:val="bottom"/>
          </w:tcPr>
          <w:p w:rsidR="00EA545B" w:rsidRDefault="00EA545B" w:rsidP="00B40D61">
            <w:pPr>
              <w:pStyle w:val="NoSpacing"/>
              <w:spacing w:after="0"/>
            </w:pPr>
            <w:r>
              <w:t>Corporate bonds</w:t>
            </w:r>
          </w:p>
        </w:tc>
        <w:tc>
          <w:tcPr>
            <w:tcW w:w="1616" w:type="dxa"/>
            <w:vAlign w:val="bottom"/>
          </w:tcPr>
          <w:p w:rsidR="00EA545B" w:rsidRDefault="00EA545B" w:rsidP="00B40D61">
            <w:pPr>
              <w:pStyle w:val="NoSpacing"/>
              <w:spacing w:after="0"/>
              <w:jc w:val="center"/>
            </w:pPr>
            <w:r>
              <w:t>$--</w:t>
            </w:r>
          </w:p>
        </w:tc>
        <w:tc>
          <w:tcPr>
            <w:tcW w:w="1476" w:type="dxa"/>
            <w:vAlign w:val="bottom"/>
          </w:tcPr>
          <w:p w:rsidR="00EA545B" w:rsidRDefault="00851B06" w:rsidP="00B40D61">
            <w:pPr>
              <w:pStyle w:val="NoSpacing"/>
              <w:spacing w:after="0"/>
              <w:jc w:val="center"/>
            </w:pPr>
            <w:r>
              <w:t>$879,544</w:t>
            </w:r>
          </w:p>
        </w:tc>
        <w:tc>
          <w:tcPr>
            <w:tcW w:w="1678" w:type="dxa"/>
            <w:vAlign w:val="bottom"/>
          </w:tcPr>
          <w:p w:rsidR="00EA545B" w:rsidRDefault="00EA545B" w:rsidP="00B40D61">
            <w:pPr>
              <w:pStyle w:val="NoSpacing"/>
              <w:spacing w:after="0"/>
              <w:jc w:val="center"/>
            </w:pPr>
            <w:r>
              <w:t>$--</w:t>
            </w:r>
          </w:p>
        </w:tc>
        <w:tc>
          <w:tcPr>
            <w:tcW w:w="1616" w:type="dxa"/>
            <w:vAlign w:val="bottom"/>
          </w:tcPr>
          <w:p w:rsidR="00EA545B" w:rsidRDefault="00851B06" w:rsidP="00B40D61">
            <w:pPr>
              <w:pStyle w:val="NoSpacing"/>
              <w:spacing w:after="0"/>
              <w:jc w:val="center"/>
            </w:pPr>
            <w:r>
              <w:t>$879,544</w:t>
            </w:r>
          </w:p>
        </w:tc>
      </w:tr>
      <w:tr w:rsidR="00EA545B" w:rsidTr="00B40D61">
        <w:trPr>
          <w:cantSplit/>
          <w:trHeight w:val="368"/>
        </w:trPr>
        <w:tc>
          <w:tcPr>
            <w:tcW w:w="3190" w:type="dxa"/>
            <w:vAlign w:val="bottom"/>
          </w:tcPr>
          <w:p w:rsidR="00EA545B" w:rsidRDefault="00EA545B" w:rsidP="00B40D61">
            <w:pPr>
              <w:pStyle w:val="NoSpacing"/>
              <w:spacing w:after="0"/>
            </w:pPr>
            <w:r>
              <w:t>Government securities</w:t>
            </w:r>
          </w:p>
        </w:tc>
        <w:tc>
          <w:tcPr>
            <w:tcW w:w="1616" w:type="dxa"/>
            <w:vAlign w:val="bottom"/>
          </w:tcPr>
          <w:p w:rsidR="00EA545B" w:rsidRDefault="00EA545B" w:rsidP="00B40D61">
            <w:pPr>
              <w:pStyle w:val="NoSpacing"/>
              <w:spacing w:after="0"/>
              <w:jc w:val="center"/>
            </w:pPr>
            <w:r>
              <w:t>--</w:t>
            </w:r>
          </w:p>
        </w:tc>
        <w:tc>
          <w:tcPr>
            <w:tcW w:w="1476" w:type="dxa"/>
            <w:vAlign w:val="bottom"/>
          </w:tcPr>
          <w:p w:rsidR="00EA545B" w:rsidRDefault="00851B06" w:rsidP="00B40D61">
            <w:pPr>
              <w:pStyle w:val="NoSpacing"/>
              <w:spacing w:after="0"/>
              <w:jc w:val="center"/>
            </w:pPr>
            <w:r>
              <w:t>90,445</w:t>
            </w:r>
          </w:p>
        </w:tc>
        <w:tc>
          <w:tcPr>
            <w:tcW w:w="1678" w:type="dxa"/>
            <w:vAlign w:val="bottom"/>
          </w:tcPr>
          <w:p w:rsidR="00EA545B" w:rsidRDefault="00EA545B" w:rsidP="00B40D61">
            <w:pPr>
              <w:pStyle w:val="NoSpacing"/>
              <w:spacing w:after="0"/>
              <w:jc w:val="center"/>
            </w:pPr>
            <w:r>
              <w:t>--</w:t>
            </w:r>
          </w:p>
        </w:tc>
        <w:tc>
          <w:tcPr>
            <w:tcW w:w="1616" w:type="dxa"/>
            <w:vAlign w:val="bottom"/>
          </w:tcPr>
          <w:p w:rsidR="00EA545B" w:rsidRDefault="00851B06" w:rsidP="00B40D61">
            <w:pPr>
              <w:pStyle w:val="NoSpacing"/>
              <w:spacing w:after="0"/>
              <w:jc w:val="center"/>
            </w:pPr>
            <w:r>
              <w:t>90,445</w:t>
            </w:r>
          </w:p>
        </w:tc>
      </w:tr>
      <w:tr w:rsidR="00EA545B" w:rsidTr="00B40D61">
        <w:trPr>
          <w:cantSplit/>
          <w:trHeight w:val="359"/>
        </w:trPr>
        <w:tc>
          <w:tcPr>
            <w:tcW w:w="3190" w:type="dxa"/>
            <w:vAlign w:val="bottom"/>
          </w:tcPr>
          <w:p w:rsidR="00EA545B" w:rsidRDefault="00EA545B" w:rsidP="00B40D61">
            <w:pPr>
              <w:pStyle w:val="NoSpacing"/>
              <w:spacing w:after="0"/>
            </w:pPr>
            <w:r>
              <w:t>Mutual funds</w:t>
            </w:r>
          </w:p>
        </w:tc>
        <w:tc>
          <w:tcPr>
            <w:tcW w:w="1616" w:type="dxa"/>
            <w:vAlign w:val="bottom"/>
          </w:tcPr>
          <w:p w:rsidR="00EA545B" w:rsidRDefault="00851B06" w:rsidP="00B40D61">
            <w:pPr>
              <w:pStyle w:val="NoSpacing"/>
              <w:spacing w:after="0"/>
              <w:jc w:val="center"/>
            </w:pPr>
            <w:r>
              <w:t>13,281,440</w:t>
            </w:r>
          </w:p>
        </w:tc>
        <w:tc>
          <w:tcPr>
            <w:tcW w:w="1476" w:type="dxa"/>
            <w:vAlign w:val="bottom"/>
          </w:tcPr>
          <w:p w:rsidR="00EA545B" w:rsidRDefault="00EA545B" w:rsidP="00B40D61">
            <w:pPr>
              <w:pStyle w:val="NoSpacing"/>
              <w:spacing w:after="0"/>
              <w:jc w:val="center"/>
            </w:pPr>
            <w:r>
              <w:t>--</w:t>
            </w:r>
          </w:p>
        </w:tc>
        <w:tc>
          <w:tcPr>
            <w:tcW w:w="1678" w:type="dxa"/>
            <w:vAlign w:val="bottom"/>
          </w:tcPr>
          <w:p w:rsidR="00EA545B" w:rsidRDefault="00EA545B" w:rsidP="00B40D61">
            <w:pPr>
              <w:pStyle w:val="NoSpacing"/>
              <w:spacing w:after="0"/>
              <w:jc w:val="center"/>
            </w:pPr>
            <w:r>
              <w:t>--</w:t>
            </w:r>
          </w:p>
        </w:tc>
        <w:tc>
          <w:tcPr>
            <w:tcW w:w="1616" w:type="dxa"/>
            <w:vAlign w:val="bottom"/>
          </w:tcPr>
          <w:p w:rsidR="00EA545B" w:rsidRDefault="00851B06" w:rsidP="00B40D61">
            <w:pPr>
              <w:pStyle w:val="NoSpacing"/>
              <w:spacing w:after="0"/>
              <w:jc w:val="center"/>
            </w:pPr>
            <w:r>
              <w:t>13,281,440</w:t>
            </w:r>
          </w:p>
        </w:tc>
      </w:tr>
      <w:tr w:rsidR="00EA545B" w:rsidTr="00B40D61">
        <w:trPr>
          <w:cantSplit/>
          <w:trHeight w:val="350"/>
        </w:trPr>
        <w:tc>
          <w:tcPr>
            <w:tcW w:w="3190" w:type="dxa"/>
            <w:vAlign w:val="bottom"/>
          </w:tcPr>
          <w:p w:rsidR="00EA545B" w:rsidRDefault="00EA545B" w:rsidP="00B40D61">
            <w:pPr>
              <w:pStyle w:val="NoSpacing"/>
              <w:spacing w:after="0"/>
            </w:pPr>
            <w:r>
              <w:t>Alternative investments</w:t>
            </w:r>
          </w:p>
        </w:tc>
        <w:tc>
          <w:tcPr>
            <w:tcW w:w="1616" w:type="dxa"/>
            <w:vAlign w:val="bottom"/>
          </w:tcPr>
          <w:p w:rsidR="00EA545B" w:rsidRPr="004B70C4" w:rsidRDefault="00EA545B" w:rsidP="00B40D61">
            <w:pPr>
              <w:pStyle w:val="NoSpacing"/>
              <w:spacing w:after="0"/>
              <w:jc w:val="center"/>
              <w:rPr>
                <w:u w:val="single"/>
              </w:rPr>
            </w:pPr>
            <w:r w:rsidRPr="004B70C4">
              <w:rPr>
                <w:u w:val="single"/>
              </w:rPr>
              <w:t>--</w:t>
            </w:r>
          </w:p>
        </w:tc>
        <w:tc>
          <w:tcPr>
            <w:tcW w:w="1476" w:type="dxa"/>
            <w:vAlign w:val="bottom"/>
          </w:tcPr>
          <w:p w:rsidR="00EA545B" w:rsidRPr="004B70C4" w:rsidRDefault="00EA545B" w:rsidP="00B40D61">
            <w:pPr>
              <w:pStyle w:val="NoSpacing"/>
              <w:spacing w:after="0"/>
              <w:jc w:val="center"/>
              <w:rPr>
                <w:u w:val="single"/>
              </w:rPr>
            </w:pPr>
            <w:r w:rsidRPr="004B70C4">
              <w:rPr>
                <w:u w:val="single"/>
              </w:rPr>
              <w:t>--</w:t>
            </w:r>
          </w:p>
        </w:tc>
        <w:tc>
          <w:tcPr>
            <w:tcW w:w="1678" w:type="dxa"/>
            <w:vAlign w:val="bottom"/>
          </w:tcPr>
          <w:p w:rsidR="00EA545B" w:rsidRPr="004B70C4" w:rsidRDefault="00851B06" w:rsidP="00B40D61">
            <w:pPr>
              <w:pStyle w:val="NoSpacing"/>
              <w:spacing w:after="0"/>
              <w:jc w:val="center"/>
              <w:rPr>
                <w:u w:val="single"/>
              </w:rPr>
            </w:pPr>
            <w:r>
              <w:rPr>
                <w:u w:val="single"/>
              </w:rPr>
              <w:t>104,401</w:t>
            </w:r>
          </w:p>
        </w:tc>
        <w:tc>
          <w:tcPr>
            <w:tcW w:w="1616" w:type="dxa"/>
            <w:vAlign w:val="bottom"/>
          </w:tcPr>
          <w:p w:rsidR="00EA545B" w:rsidRPr="004B70C4" w:rsidRDefault="00851B06" w:rsidP="00B40D61">
            <w:pPr>
              <w:pStyle w:val="NoSpacing"/>
              <w:spacing w:after="0"/>
              <w:jc w:val="center"/>
              <w:rPr>
                <w:u w:val="single"/>
              </w:rPr>
            </w:pPr>
            <w:r>
              <w:rPr>
                <w:u w:val="single"/>
              </w:rPr>
              <w:t>104,401</w:t>
            </w:r>
          </w:p>
        </w:tc>
      </w:tr>
      <w:tr w:rsidR="00EA545B" w:rsidTr="00B40D61">
        <w:trPr>
          <w:cantSplit/>
          <w:trHeight w:val="359"/>
        </w:trPr>
        <w:tc>
          <w:tcPr>
            <w:tcW w:w="3190" w:type="dxa"/>
            <w:vAlign w:val="bottom"/>
          </w:tcPr>
          <w:p w:rsidR="00EA545B" w:rsidRDefault="00EA545B" w:rsidP="00B40D61">
            <w:pPr>
              <w:pStyle w:val="NoSpacing"/>
              <w:spacing w:after="0"/>
              <w:ind w:firstLine="360"/>
            </w:pPr>
            <w:r>
              <w:t>Investments subtotal</w:t>
            </w:r>
          </w:p>
        </w:tc>
        <w:tc>
          <w:tcPr>
            <w:tcW w:w="1616" w:type="dxa"/>
            <w:vAlign w:val="bottom"/>
          </w:tcPr>
          <w:p w:rsidR="00EA545B" w:rsidRDefault="00A903FC" w:rsidP="00B40D61">
            <w:pPr>
              <w:pStyle w:val="NoSpacing"/>
              <w:spacing w:after="0"/>
              <w:jc w:val="center"/>
            </w:pPr>
            <w:r>
              <w:t>13,281,440</w:t>
            </w:r>
          </w:p>
        </w:tc>
        <w:tc>
          <w:tcPr>
            <w:tcW w:w="1476" w:type="dxa"/>
            <w:vAlign w:val="bottom"/>
          </w:tcPr>
          <w:p w:rsidR="00EA545B" w:rsidRDefault="00A903FC" w:rsidP="00B40D61">
            <w:pPr>
              <w:pStyle w:val="NoSpacing"/>
              <w:spacing w:after="0"/>
              <w:jc w:val="center"/>
            </w:pPr>
            <w:r>
              <w:t>969,989</w:t>
            </w:r>
          </w:p>
        </w:tc>
        <w:tc>
          <w:tcPr>
            <w:tcW w:w="1678" w:type="dxa"/>
            <w:vAlign w:val="bottom"/>
          </w:tcPr>
          <w:p w:rsidR="00EA545B" w:rsidRDefault="00A903FC" w:rsidP="00B40D61">
            <w:pPr>
              <w:pStyle w:val="NoSpacing"/>
              <w:spacing w:after="0"/>
              <w:jc w:val="center"/>
            </w:pPr>
            <w:r>
              <w:t>1</w:t>
            </w:r>
            <w:r w:rsidR="00EA545B">
              <w:t>0</w:t>
            </w:r>
            <w:r>
              <w:t>4,401</w:t>
            </w:r>
          </w:p>
        </w:tc>
        <w:tc>
          <w:tcPr>
            <w:tcW w:w="1616" w:type="dxa"/>
            <w:vAlign w:val="bottom"/>
          </w:tcPr>
          <w:p w:rsidR="00EA545B" w:rsidRDefault="00A903FC" w:rsidP="00B40D61">
            <w:pPr>
              <w:pStyle w:val="NoSpacing"/>
              <w:spacing w:after="0"/>
              <w:jc w:val="center"/>
            </w:pPr>
            <w:r>
              <w:t>14,355,830</w:t>
            </w:r>
          </w:p>
        </w:tc>
      </w:tr>
      <w:tr w:rsidR="00EA545B" w:rsidTr="00B40D61">
        <w:trPr>
          <w:cantSplit/>
        </w:trPr>
        <w:tc>
          <w:tcPr>
            <w:tcW w:w="3190" w:type="dxa"/>
            <w:vAlign w:val="bottom"/>
          </w:tcPr>
          <w:p w:rsidR="00EA545B" w:rsidRDefault="00EA545B" w:rsidP="00B40D61">
            <w:pPr>
              <w:pStyle w:val="NoSpacing"/>
              <w:spacing w:after="0"/>
            </w:pPr>
            <w:r>
              <w:t>Other investments - life insurance</w:t>
            </w:r>
          </w:p>
        </w:tc>
        <w:tc>
          <w:tcPr>
            <w:tcW w:w="1616" w:type="dxa"/>
            <w:vAlign w:val="bottom"/>
          </w:tcPr>
          <w:p w:rsidR="00EA545B" w:rsidRPr="004B70C4" w:rsidRDefault="00EA545B" w:rsidP="00B40D61">
            <w:pPr>
              <w:pStyle w:val="NoSpacing"/>
              <w:spacing w:after="0"/>
              <w:jc w:val="center"/>
              <w:rPr>
                <w:u w:val="single"/>
              </w:rPr>
            </w:pPr>
            <w:r w:rsidRPr="004B70C4">
              <w:rPr>
                <w:u w:val="single"/>
              </w:rPr>
              <w:t>--</w:t>
            </w:r>
          </w:p>
        </w:tc>
        <w:tc>
          <w:tcPr>
            <w:tcW w:w="1476" w:type="dxa"/>
            <w:vAlign w:val="bottom"/>
          </w:tcPr>
          <w:p w:rsidR="00EA545B" w:rsidRPr="004B70C4" w:rsidRDefault="00EA545B" w:rsidP="00B40D61">
            <w:pPr>
              <w:pStyle w:val="NoSpacing"/>
              <w:spacing w:after="0"/>
              <w:jc w:val="center"/>
              <w:rPr>
                <w:u w:val="single"/>
              </w:rPr>
            </w:pPr>
            <w:r w:rsidRPr="004B70C4">
              <w:rPr>
                <w:u w:val="single"/>
              </w:rPr>
              <w:t>--</w:t>
            </w:r>
          </w:p>
        </w:tc>
        <w:tc>
          <w:tcPr>
            <w:tcW w:w="1678" w:type="dxa"/>
            <w:vAlign w:val="bottom"/>
          </w:tcPr>
          <w:p w:rsidR="00EA545B" w:rsidRPr="004B70C4" w:rsidRDefault="00A903FC" w:rsidP="00B40D61">
            <w:pPr>
              <w:pStyle w:val="NoSpacing"/>
              <w:spacing w:after="0"/>
              <w:jc w:val="center"/>
              <w:rPr>
                <w:u w:val="single"/>
              </w:rPr>
            </w:pPr>
            <w:r>
              <w:rPr>
                <w:u w:val="single"/>
              </w:rPr>
              <w:t>2,555,672</w:t>
            </w:r>
          </w:p>
        </w:tc>
        <w:tc>
          <w:tcPr>
            <w:tcW w:w="1616" w:type="dxa"/>
            <w:vAlign w:val="bottom"/>
          </w:tcPr>
          <w:p w:rsidR="00EA545B" w:rsidRPr="004B70C4" w:rsidRDefault="00A903FC" w:rsidP="00B40D61">
            <w:pPr>
              <w:pStyle w:val="NoSpacing"/>
              <w:spacing w:after="0"/>
              <w:jc w:val="center"/>
              <w:rPr>
                <w:u w:val="single"/>
              </w:rPr>
            </w:pPr>
            <w:r>
              <w:rPr>
                <w:u w:val="single"/>
              </w:rPr>
              <w:t>2,555,672</w:t>
            </w:r>
          </w:p>
        </w:tc>
      </w:tr>
      <w:tr w:rsidR="00EA545B" w:rsidTr="00B40D61">
        <w:trPr>
          <w:cantSplit/>
          <w:trHeight w:val="404"/>
        </w:trPr>
        <w:tc>
          <w:tcPr>
            <w:tcW w:w="3190" w:type="dxa"/>
            <w:vAlign w:val="center"/>
          </w:tcPr>
          <w:p w:rsidR="00EA545B" w:rsidRDefault="00EA545B" w:rsidP="00B40D61">
            <w:pPr>
              <w:pStyle w:val="NoSpacing"/>
              <w:spacing w:after="0"/>
            </w:pPr>
            <w:r>
              <w:t>Total Assets at Fair Value</w:t>
            </w:r>
          </w:p>
        </w:tc>
        <w:tc>
          <w:tcPr>
            <w:tcW w:w="1616" w:type="dxa"/>
            <w:vAlign w:val="center"/>
          </w:tcPr>
          <w:p w:rsidR="00EA545B" w:rsidRPr="004B70C4" w:rsidRDefault="00A903FC" w:rsidP="00B40D61">
            <w:pPr>
              <w:pStyle w:val="NoSpacing"/>
              <w:spacing w:after="0"/>
              <w:jc w:val="center"/>
              <w:rPr>
                <w:u w:val="double"/>
              </w:rPr>
            </w:pPr>
            <w:r>
              <w:rPr>
                <w:u w:val="double"/>
              </w:rPr>
              <w:t>$13</w:t>
            </w:r>
            <w:r w:rsidR="00EA545B">
              <w:rPr>
                <w:u w:val="double"/>
              </w:rPr>
              <w:t>,2</w:t>
            </w:r>
            <w:r>
              <w:rPr>
                <w:u w:val="double"/>
              </w:rPr>
              <w:t>81,440</w:t>
            </w:r>
          </w:p>
        </w:tc>
        <w:tc>
          <w:tcPr>
            <w:tcW w:w="1476" w:type="dxa"/>
            <w:vAlign w:val="center"/>
          </w:tcPr>
          <w:p w:rsidR="00EA545B" w:rsidRPr="004B70C4" w:rsidRDefault="00A903FC" w:rsidP="00B40D61">
            <w:pPr>
              <w:pStyle w:val="NoSpacing"/>
              <w:spacing w:after="0"/>
              <w:jc w:val="center"/>
              <w:rPr>
                <w:u w:val="double"/>
              </w:rPr>
            </w:pPr>
            <w:r>
              <w:rPr>
                <w:u w:val="double"/>
              </w:rPr>
              <w:t>$969,989</w:t>
            </w:r>
          </w:p>
        </w:tc>
        <w:tc>
          <w:tcPr>
            <w:tcW w:w="1678" w:type="dxa"/>
            <w:vAlign w:val="center"/>
          </w:tcPr>
          <w:p w:rsidR="00EA545B" w:rsidRPr="004B70C4" w:rsidRDefault="00A903FC" w:rsidP="00B40D61">
            <w:pPr>
              <w:pStyle w:val="NoSpacing"/>
              <w:spacing w:after="0"/>
              <w:jc w:val="center"/>
              <w:rPr>
                <w:u w:val="double"/>
              </w:rPr>
            </w:pPr>
            <w:r>
              <w:rPr>
                <w:u w:val="double"/>
              </w:rPr>
              <w:t>$2,660,073</w:t>
            </w:r>
          </w:p>
        </w:tc>
        <w:tc>
          <w:tcPr>
            <w:tcW w:w="1616" w:type="dxa"/>
            <w:vAlign w:val="center"/>
          </w:tcPr>
          <w:p w:rsidR="00EA545B" w:rsidRPr="004B70C4" w:rsidRDefault="00EA545B" w:rsidP="00B40D61">
            <w:pPr>
              <w:pStyle w:val="NoSpacing"/>
              <w:spacing w:after="0"/>
              <w:jc w:val="center"/>
              <w:rPr>
                <w:u w:val="double"/>
              </w:rPr>
            </w:pPr>
            <w:r>
              <w:rPr>
                <w:u w:val="double"/>
              </w:rPr>
              <w:t>$16</w:t>
            </w:r>
            <w:r w:rsidR="00A903FC">
              <w:rPr>
                <w:u w:val="double"/>
              </w:rPr>
              <w:t>,911,5</w:t>
            </w:r>
            <w:r>
              <w:rPr>
                <w:u w:val="double"/>
              </w:rPr>
              <w:t>0</w:t>
            </w:r>
            <w:r w:rsidR="00A903FC">
              <w:rPr>
                <w:u w:val="double"/>
              </w:rPr>
              <w:t>2</w:t>
            </w:r>
          </w:p>
        </w:tc>
      </w:tr>
      <w:tr w:rsidR="00EA545B" w:rsidTr="00B40D61">
        <w:trPr>
          <w:cantSplit/>
          <w:trHeight w:val="449"/>
        </w:trPr>
        <w:tc>
          <w:tcPr>
            <w:tcW w:w="9576" w:type="dxa"/>
            <w:gridSpan w:val="5"/>
            <w:vAlign w:val="center"/>
          </w:tcPr>
          <w:p w:rsidR="00EA545B" w:rsidRDefault="00EA545B" w:rsidP="00B40D61">
            <w:pPr>
              <w:pStyle w:val="NoSpacing"/>
              <w:spacing w:after="0"/>
            </w:pPr>
            <w:r w:rsidRPr="004A5D13">
              <w:rPr>
                <w:u w:val="single"/>
              </w:rPr>
              <w:t>Liabilities</w:t>
            </w:r>
            <w:r>
              <w:t>:</w:t>
            </w:r>
          </w:p>
        </w:tc>
      </w:tr>
      <w:tr w:rsidR="00EA545B" w:rsidTr="00B40D61">
        <w:trPr>
          <w:cantSplit/>
          <w:trHeight w:val="431"/>
        </w:trPr>
        <w:tc>
          <w:tcPr>
            <w:tcW w:w="3190" w:type="dxa"/>
            <w:vAlign w:val="bottom"/>
          </w:tcPr>
          <w:p w:rsidR="00EA545B" w:rsidRDefault="00EA545B" w:rsidP="00B40D61">
            <w:pPr>
              <w:pStyle w:val="NoSpacing"/>
              <w:spacing w:after="0"/>
            </w:pPr>
            <w:r>
              <w:t>Accrued annuity benefits</w:t>
            </w:r>
          </w:p>
        </w:tc>
        <w:tc>
          <w:tcPr>
            <w:tcW w:w="1616" w:type="dxa"/>
            <w:vAlign w:val="center"/>
          </w:tcPr>
          <w:p w:rsidR="00EA545B" w:rsidRPr="004B70C4" w:rsidRDefault="00EA545B" w:rsidP="00B40D61">
            <w:pPr>
              <w:pStyle w:val="NoSpacing"/>
              <w:spacing w:after="0"/>
              <w:jc w:val="center"/>
              <w:rPr>
                <w:u w:val="double"/>
              </w:rPr>
            </w:pPr>
            <w:r w:rsidRPr="004B70C4">
              <w:rPr>
                <w:u w:val="double"/>
              </w:rPr>
              <w:t>$--</w:t>
            </w:r>
          </w:p>
        </w:tc>
        <w:tc>
          <w:tcPr>
            <w:tcW w:w="1476" w:type="dxa"/>
            <w:vAlign w:val="center"/>
          </w:tcPr>
          <w:p w:rsidR="00EA545B" w:rsidRPr="004B70C4" w:rsidRDefault="00EA545B" w:rsidP="00B40D61">
            <w:pPr>
              <w:pStyle w:val="NoSpacing"/>
              <w:spacing w:after="0"/>
              <w:jc w:val="center"/>
              <w:rPr>
                <w:u w:val="double"/>
              </w:rPr>
            </w:pPr>
            <w:r w:rsidRPr="004B70C4">
              <w:rPr>
                <w:u w:val="double"/>
              </w:rPr>
              <w:t>$--</w:t>
            </w:r>
          </w:p>
        </w:tc>
        <w:tc>
          <w:tcPr>
            <w:tcW w:w="1678" w:type="dxa"/>
            <w:vAlign w:val="center"/>
          </w:tcPr>
          <w:p w:rsidR="00EA545B" w:rsidRPr="004B70C4" w:rsidRDefault="00EA545B" w:rsidP="00B40D61">
            <w:pPr>
              <w:pStyle w:val="NoSpacing"/>
              <w:spacing w:after="0"/>
              <w:jc w:val="center"/>
              <w:rPr>
                <w:u w:val="double"/>
              </w:rPr>
            </w:pPr>
            <w:r w:rsidRPr="004B70C4">
              <w:rPr>
                <w:u w:val="double"/>
              </w:rPr>
              <w:t>$28,156</w:t>
            </w:r>
          </w:p>
        </w:tc>
        <w:tc>
          <w:tcPr>
            <w:tcW w:w="1616" w:type="dxa"/>
            <w:vAlign w:val="center"/>
          </w:tcPr>
          <w:p w:rsidR="00EA545B" w:rsidRPr="004B70C4" w:rsidRDefault="00EA545B" w:rsidP="00B40D61">
            <w:pPr>
              <w:pStyle w:val="NoSpacing"/>
              <w:spacing w:after="0"/>
              <w:jc w:val="center"/>
              <w:rPr>
                <w:u w:val="double"/>
              </w:rPr>
            </w:pPr>
            <w:r w:rsidRPr="004B70C4">
              <w:rPr>
                <w:u w:val="double"/>
              </w:rPr>
              <w:t>$28,156</w:t>
            </w:r>
          </w:p>
        </w:tc>
      </w:tr>
    </w:tbl>
    <w:p w:rsidR="00EA545B" w:rsidRDefault="00EA545B" w:rsidP="00EA545B">
      <w:pPr>
        <w:pStyle w:val="NoSpacing"/>
        <w:spacing w:before="240"/>
      </w:pPr>
      <w:r>
        <w:t xml:space="preserve">The following table sets forth a summary of changes in the fair value of the Federation's level 3 assets and liabilities for </w:t>
      </w:r>
      <w:r w:rsidR="00CB534E">
        <w:t>the year ended December 31, 2016</w:t>
      </w:r>
      <w:r>
        <w:t>:</w:t>
      </w:r>
    </w:p>
    <w:tbl>
      <w:tblPr>
        <w:tblStyle w:val="TableGrid"/>
        <w:tblW w:w="0" w:type="auto"/>
        <w:tblLook w:val="04A0" w:firstRow="1" w:lastRow="0" w:firstColumn="1" w:lastColumn="0" w:noHBand="0" w:noVBand="1"/>
      </w:tblPr>
      <w:tblGrid>
        <w:gridCol w:w="4158"/>
        <w:gridCol w:w="2970"/>
        <w:gridCol w:w="2448"/>
      </w:tblGrid>
      <w:tr w:rsidR="00EA545B" w:rsidTr="00B40D61">
        <w:trPr>
          <w:tblHeader/>
        </w:trPr>
        <w:tc>
          <w:tcPr>
            <w:tcW w:w="4158" w:type="dxa"/>
          </w:tcPr>
          <w:p w:rsidR="00EA545B" w:rsidRPr="00203B87" w:rsidRDefault="00EA545B" w:rsidP="00B40D61">
            <w:pPr>
              <w:pStyle w:val="NoSpacing"/>
              <w:spacing w:after="0"/>
              <w:rPr>
                <w:b/>
              </w:rPr>
            </w:pPr>
          </w:p>
        </w:tc>
        <w:tc>
          <w:tcPr>
            <w:tcW w:w="2970" w:type="dxa"/>
            <w:vAlign w:val="center"/>
          </w:tcPr>
          <w:p w:rsidR="00EA545B" w:rsidRPr="00203B87" w:rsidRDefault="00EA545B" w:rsidP="00B40D61">
            <w:pPr>
              <w:pStyle w:val="NoSpacing"/>
              <w:spacing w:after="0"/>
              <w:jc w:val="center"/>
              <w:rPr>
                <w:b/>
              </w:rPr>
            </w:pPr>
            <w:r w:rsidRPr="00203B87">
              <w:rPr>
                <w:b/>
              </w:rPr>
              <w:t>Assets</w:t>
            </w:r>
          </w:p>
        </w:tc>
        <w:tc>
          <w:tcPr>
            <w:tcW w:w="2448" w:type="dxa"/>
            <w:vAlign w:val="center"/>
          </w:tcPr>
          <w:p w:rsidR="00EA545B" w:rsidRPr="00203B87" w:rsidRDefault="00EA545B" w:rsidP="00B40D61">
            <w:pPr>
              <w:pStyle w:val="NoSpacing"/>
              <w:spacing w:after="0"/>
              <w:jc w:val="center"/>
              <w:rPr>
                <w:b/>
              </w:rPr>
            </w:pPr>
            <w:r w:rsidRPr="00203B87">
              <w:rPr>
                <w:b/>
              </w:rPr>
              <w:t>Liabilities</w:t>
            </w:r>
          </w:p>
        </w:tc>
      </w:tr>
      <w:tr w:rsidR="00EA545B" w:rsidTr="00B40D61">
        <w:trPr>
          <w:cantSplit/>
        </w:trPr>
        <w:tc>
          <w:tcPr>
            <w:tcW w:w="4158" w:type="dxa"/>
          </w:tcPr>
          <w:p w:rsidR="00EA545B" w:rsidRDefault="00EA545B" w:rsidP="00B40D61">
            <w:pPr>
              <w:pStyle w:val="NoSpacing"/>
              <w:spacing w:after="0"/>
            </w:pPr>
            <w:r>
              <w:t>Balance - beginning of year</w:t>
            </w:r>
          </w:p>
        </w:tc>
        <w:tc>
          <w:tcPr>
            <w:tcW w:w="2970" w:type="dxa"/>
            <w:vAlign w:val="center"/>
          </w:tcPr>
          <w:p w:rsidR="00EA545B" w:rsidRDefault="00521F81" w:rsidP="00B40D61">
            <w:pPr>
              <w:pStyle w:val="NoSpacing"/>
              <w:spacing w:after="0"/>
              <w:jc w:val="center"/>
            </w:pPr>
            <w:r>
              <w:t>$2,471,600</w:t>
            </w:r>
          </w:p>
        </w:tc>
        <w:tc>
          <w:tcPr>
            <w:tcW w:w="2448" w:type="dxa"/>
            <w:vAlign w:val="center"/>
          </w:tcPr>
          <w:p w:rsidR="00EA545B" w:rsidRDefault="00EA545B" w:rsidP="00B40D61">
            <w:pPr>
              <w:pStyle w:val="NoSpacing"/>
              <w:spacing w:after="0"/>
              <w:jc w:val="center"/>
            </w:pPr>
            <w:r>
              <w:t>$28,156</w:t>
            </w:r>
          </w:p>
        </w:tc>
      </w:tr>
      <w:tr w:rsidR="00EA545B" w:rsidTr="00B40D61">
        <w:trPr>
          <w:cantSplit/>
        </w:trPr>
        <w:tc>
          <w:tcPr>
            <w:tcW w:w="4158" w:type="dxa"/>
          </w:tcPr>
          <w:p w:rsidR="00EA545B" w:rsidRDefault="00EA545B" w:rsidP="00B40D61">
            <w:pPr>
              <w:pStyle w:val="NoSpacing"/>
              <w:spacing w:after="0"/>
            </w:pPr>
            <w:r>
              <w:t>Increase in cash surrender value</w:t>
            </w:r>
          </w:p>
        </w:tc>
        <w:tc>
          <w:tcPr>
            <w:tcW w:w="2970" w:type="dxa"/>
            <w:vAlign w:val="center"/>
          </w:tcPr>
          <w:p w:rsidR="00EA545B" w:rsidRDefault="00521F81" w:rsidP="00B40D61">
            <w:pPr>
              <w:pStyle w:val="NoSpacing"/>
              <w:spacing w:after="0"/>
              <w:jc w:val="center"/>
            </w:pPr>
            <w:r>
              <w:t>284,52</w:t>
            </w:r>
            <w:r w:rsidR="00EA545B">
              <w:t>1</w:t>
            </w:r>
          </w:p>
        </w:tc>
        <w:tc>
          <w:tcPr>
            <w:tcW w:w="2448" w:type="dxa"/>
            <w:vAlign w:val="center"/>
          </w:tcPr>
          <w:p w:rsidR="00EA545B" w:rsidRDefault="00EA545B" w:rsidP="00B40D61">
            <w:pPr>
              <w:pStyle w:val="NoSpacing"/>
              <w:spacing w:after="0"/>
              <w:jc w:val="center"/>
            </w:pPr>
            <w:r>
              <w:t>--</w:t>
            </w:r>
          </w:p>
        </w:tc>
      </w:tr>
      <w:tr w:rsidR="00EA545B" w:rsidTr="00B40D61">
        <w:trPr>
          <w:cantSplit/>
        </w:trPr>
        <w:tc>
          <w:tcPr>
            <w:tcW w:w="4158" w:type="dxa"/>
          </w:tcPr>
          <w:p w:rsidR="00EA545B" w:rsidRDefault="00EA545B" w:rsidP="00B40D61">
            <w:pPr>
              <w:pStyle w:val="NoSpacing"/>
              <w:spacing w:after="0"/>
            </w:pPr>
            <w:r>
              <w:t>Losses on investments</w:t>
            </w:r>
          </w:p>
        </w:tc>
        <w:tc>
          <w:tcPr>
            <w:tcW w:w="2970" w:type="dxa"/>
            <w:vAlign w:val="center"/>
          </w:tcPr>
          <w:p w:rsidR="00EA545B" w:rsidRPr="00203B87" w:rsidRDefault="00521F81" w:rsidP="00B40D61">
            <w:pPr>
              <w:pStyle w:val="NoSpacing"/>
              <w:spacing w:after="0"/>
              <w:jc w:val="center"/>
              <w:rPr>
                <w:u w:val="single"/>
              </w:rPr>
            </w:pPr>
            <w:r>
              <w:rPr>
                <w:u w:val="single"/>
              </w:rPr>
              <w:t>(96,048</w:t>
            </w:r>
            <w:r w:rsidR="00EA545B">
              <w:rPr>
                <w:u w:val="single"/>
              </w:rPr>
              <w:t>)</w:t>
            </w:r>
          </w:p>
        </w:tc>
        <w:tc>
          <w:tcPr>
            <w:tcW w:w="2448" w:type="dxa"/>
            <w:vAlign w:val="center"/>
          </w:tcPr>
          <w:p w:rsidR="00EA545B" w:rsidRPr="00203B87" w:rsidRDefault="00EA545B" w:rsidP="00B40D61">
            <w:pPr>
              <w:pStyle w:val="NoSpacing"/>
              <w:spacing w:after="0"/>
              <w:jc w:val="center"/>
              <w:rPr>
                <w:u w:val="single"/>
              </w:rPr>
            </w:pPr>
            <w:r w:rsidRPr="00203B87">
              <w:rPr>
                <w:u w:val="single"/>
              </w:rPr>
              <w:t>--</w:t>
            </w:r>
          </w:p>
        </w:tc>
      </w:tr>
      <w:tr w:rsidR="00EA545B" w:rsidTr="00B40D61">
        <w:trPr>
          <w:cantSplit/>
          <w:trHeight w:val="404"/>
        </w:trPr>
        <w:tc>
          <w:tcPr>
            <w:tcW w:w="4158" w:type="dxa"/>
          </w:tcPr>
          <w:p w:rsidR="00EA545B" w:rsidRDefault="00EA545B" w:rsidP="00B40D61">
            <w:pPr>
              <w:pStyle w:val="NoSpacing"/>
              <w:spacing w:after="0"/>
            </w:pPr>
            <w:r>
              <w:t>Balance - end of year</w:t>
            </w:r>
          </w:p>
        </w:tc>
        <w:tc>
          <w:tcPr>
            <w:tcW w:w="2970" w:type="dxa"/>
            <w:vAlign w:val="center"/>
          </w:tcPr>
          <w:p w:rsidR="00EA545B" w:rsidRPr="00203B87" w:rsidRDefault="00521F81" w:rsidP="00B40D61">
            <w:pPr>
              <w:pStyle w:val="NoSpacing"/>
              <w:spacing w:after="0"/>
              <w:jc w:val="center"/>
              <w:rPr>
                <w:u w:val="double"/>
              </w:rPr>
            </w:pPr>
            <w:r>
              <w:rPr>
                <w:u w:val="double"/>
              </w:rPr>
              <w:t>$2,660,</w:t>
            </w:r>
            <w:r w:rsidR="00EA545B">
              <w:rPr>
                <w:u w:val="double"/>
              </w:rPr>
              <w:t>0</w:t>
            </w:r>
            <w:r>
              <w:rPr>
                <w:u w:val="double"/>
              </w:rPr>
              <w:t>73</w:t>
            </w:r>
          </w:p>
        </w:tc>
        <w:tc>
          <w:tcPr>
            <w:tcW w:w="2448" w:type="dxa"/>
            <w:vAlign w:val="center"/>
          </w:tcPr>
          <w:p w:rsidR="00EA545B" w:rsidRPr="00203B87" w:rsidRDefault="00EA545B" w:rsidP="00B40D61">
            <w:pPr>
              <w:pStyle w:val="NoSpacing"/>
              <w:spacing w:after="0"/>
              <w:jc w:val="center"/>
              <w:rPr>
                <w:u w:val="double"/>
              </w:rPr>
            </w:pPr>
            <w:r w:rsidRPr="00203B87">
              <w:rPr>
                <w:u w:val="double"/>
              </w:rPr>
              <w:t>$28,156</w:t>
            </w:r>
          </w:p>
        </w:tc>
      </w:tr>
    </w:tbl>
    <w:p w:rsidR="00EA545B" w:rsidRDefault="00EA545B" w:rsidP="00EA545B">
      <w:pPr>
        <w:pStyle w:val="NoSpacing"/>
        <w:spacing w:before="240"/>
      </w:pPr>
      <w:r>
        <w:t xml:space="preserve">The Federation's return on investments for </w:t>
      </w:r>
      <w:r w:rsidR="00521F81">
        <w:t>the year ended December 31, 2016</w:t>
      </w:r>
      <w:r>
        <w:t xml:space="preserve"> consisted of the following components:</w:t>
      </w:r>
    </w:p>
    <w:tbl>
      <w:tblPr>
        <w:tblStyle w:val="TableGrid"/>
        <w:tblW w:w="0" w:type="auto"/>
        <w:tblLook w:val="04A0" w:firstRow="1" w:lastRow="0" w:firstColumn="1" w:lastColumn="0" w:noHBand="0" w:noVBand="1"/>
      </w:tblPr>
      <w:tblGrid>
        <w:gridCol w:w="4600"/>
        <w:gridCol w:w="1725"/>
        <w:gridCol w:w="1798"/>
        <w:gridCol w:w="1453"/>
      </w:tblGrid>
      <w:tr w:rsidR="00EA545B" w:rsidTr="00B40D61">
        <w:trPr>
          <w:tblHeader/>
        </w:trPr>
        <w:tc>
          <w:tcPr>
            <w:tcW w:w="4698" w:type="dxa"/>
          </w:tcPr>
          <w:p w:rsidR="00EA545B" w:rsidRDefault="00EA545B" w:rsidP="00B40D61">
            <w:pPr>
              <w:pStyle w:val="NoSpacing"/>
              <w:spacing w:after="0"/>
            </w:pPr>
          </w:p>
        </w:tc>
        <w:tc>
          <w:tcPr>
            <w:tcW w:w="1620" w:type="dxa"/>
          </w:tcPr>
          <w:p w:rsidR="00EA545B" w:rsidRPr="00203B87" w:rsidRDefault="00EA545B" w:rsidP="00B40D61">
            <w:pPr>
              <w:pStyle w:val="NoSpacing"/>
              <w:spacing w:after="0"/>
              <w:rPr>
                <w:b/>
              </w:rPr>
            </w:pPr>
            <w:r w:rsidRPr="00203B87">
              <w:rPr>
                <w:b/>
              </w:rPr>
              <w:t>Unrestricted</w:t>
            </w:r>
          </w:p>
        </w:tc>
        <w:tc>
          <w:tcPr>
            <w:tcW w:w="1800" w:type="dxa"/>
          </w:tcPr>
          <w:p w:rsidR="00EA545B" w:rsidRPr="00203B87" w:rsidRDefault="00EA545B" w:rsidP="00B40D61">
            <w:pPr>
              <w:pStyle w:val="NoSpacing"/>
              <w:spacing w:after="0"/>
              <w:rPr>
                <w:b/>
              </w:rPr>
            </w:pPr>
            <w:r w:rsidRPr="00203B87">
              <w:rPr>
                <w:b/>
              </w:rPr>
              <w:t>Temporarily Restricted</w:t>
            </w:r>
          </w:p>
        </w:tc>
        <w:tc>
          <w:tcPr>
            <w:tcW w:w="1458" w:type="dxa"/>
          </w:tcPr>
          <w:p w:rsidR="00EA545B" w:rsidRPr="00203B87" w:rsidRDefault="00EA545B" w:rsidP="00B40D61">
            <w:pPr>
              <w:pStyle w:val="NoSpacing"/>
              <w:spacing w:after="0"/>
              <w:rPr>
                <w:b/>
              </w:rPr>
            </w:pPr>
            <w:r w:rsidRPr="00203B87">
              <w:rPr>
                <w:b/>
              </w:rPr>
              <w:t>Total</w:t>
            </w:r>
          </w:p>
        </w:tc>
      </w:tr>
      <w:tr w:rsidR="00EA545B" w:rsidTr="00B40D61">
        <w:trPr>
          <w:cantSplit/>
          <w:trHeight w:val="359"/>
        </w:trPr>
        <w:tc>
          <w:tcPr>
            <w:tcW w:w="4698" w:type="dxa"/>
            <w:vAlign w:val="center"/>
          </w:tcPr>
          <w:p w:rsidR="00EA545B" w:rsidRDefault="00EA545B" w:rsidP="00B40D61">
            <w:pPr>
              <w:pStyle w:val="NoSpacing"/>
              <w:spacing w:after="0"/>
            </w:pPr>
            <w:r>
              <w:t>Interest and dividends</w:t>
            </w:r>
          </w:p>
        </w:tc>
        <w:tc>
          <w:tcPr>
            <w:tcW w:w="1620" w:type="dxa"/>
            <w:vAlign w:val="center"/>
          </w:tcPr>
          <w:p w:rsidR="00EA545B" w:rsidRPr="00203B87" w:rsidRDefault="00521F81" w:rsidP="00B40D61">
            <w:pPr>
              <w:pStyle w:val="NoSpacing"/>
              <w:spacing w:after="0"/>
              <w:jc w:val="center"/>
              <w:rPr>
                <w:u w:val="single"/>
              </w:rPr>
            </w:pPr>
            <w:r>
              <w:rPr>
                <w:u w:val="single"/>
              </w:rPr>
              <w:t>$344,003</w:t>
            </w:r>
          </w:p>
        </w:tc>
        <w:tc>
          <w:tcPr>
            <w:tcW w:w="1800" w:type="dxa"/>
            <w:vAlign w:val="center"/>
          </w:tcPr>
          <w:p w:rsidR="00EA545B" w:rsidRPr="00203B87" w:rsidRDefault="00521F81" w:rsidP="00B40D61">
            <w:pPr>
              <w:pStyle w:val="NoSpacing"/>
              <w:spacing w:after="0"/>
              <w:jc w:val="center"/>
              <w:rPr>
                <w:u w:val="single"/>
              </w:rPr>
            </w:pPr>
            <w:r>
              <w:rPr>
                <w:u w:val="single"/>
              </w:rPr>
              <w:t>$86,74</w:t>
            </w:r>
            <w:r w:rsidR="00EA545B">
              <w:rPr>
                <w:u w:val="single"/>
              </w:rPr>
              <w:t>8</w:t>
            </w:r>
          </w:p>
        </w:tc>
        <w:tc>
          <w:tcPr>
            <w:tcW w:w="1458" w:type="dxa"/>
            <w:vAlign w:val="center"/>
          </w:tcPr>
          <w:p w:rsidR="00EA545B" w:rsidRPr="00203B87" w:rsidRDefault="00521F81" w:rsidP="00B40D61">
            <w:pPr>
              <w:pStyle w:val="NoSpacing"/>
              <w:spacing w:after="0"/>
              <w:jc w:val="center"/>
              <w:rPr>
                <w:u w:val="single"/>
              </w:rPr>
            </w:pPr>
            <w:r>
              <w:rPr>
                <w:u w:val="single"/>
              </w:rPr>
              <w:t>$430,751</w:t>
            </w:r>
          </w:p>
        </w:tc>
      </w:tr>
      <w:tr w:rsidR="00EA545B" w:rsidTr="00B40D61">
        <w:trPr>
          <w:cantSplit/>
        </w:trPr>
        <w:tc>
          <w:tcPr>
            <w:tcW w:w="9576" w:type="dxa"/>
            <w:gridSpan w:val="4"/>
            <w:vAlign w:val="center"/>
          </w:tcPr>
          <w:p w:rsidR="00EA545B" w:rsidRDefault="00EA545B" w:rsidP="00B40D61">
            <w:pPr>
              <w:pStyle w:val="NoSpacing"/>
              <w:spacing w:after="0"/>
            </w:pPr>
            <w:r>
              <w:t>Gains (losses) on  investments:</w:t>
            </w:r>
          </w:p>
        </w:tc>
      </w:tr>
      <w:tr w:rsidR="00EA545B" w:rsidTr="00B40D61">
        <w:trPr>
          <w:cantSplit/>
        </w:trPr>
        <w:tc>
          <w:tcPr>
            <w:tcW w:w="4698" w:type="dxa"/>
            <w:vAlign w:val="center"/>
          </w:tcPr>
          <w:p w:rsidR="00EA545B" w:rsidRDefault="00EA545B" w:rsidP="00B40D61">
            <w:pPr>
              <w:pStyle w:val="NoSpacing"/>
              <w:spacing w:after="0"/>
            </w:pPr>
            <w:r>
              <w:t>Net realized gains (losses)</w:t>
            </w:r>
          </w:p>
        </w:tc>
        <w:tc>
          <w:tcPr>
            <w:tcW w:w="1620" w:type="dxa"/>
            <w:vAlign w:val="center"/>
          </w:tcPr>
          <w:p w:rsidR="00EA545B" w:rsidRDefault="00521F81" w:rsidP="00B40D61">
            <w:pPr>
              <w:pStyle w:val="NoSpacing"/>
              <w:spacing w:after="0"/>
              <w:jc w:val="center"/>
            </w:pPr>
            <w:r>
              <w:t>(277,888)</w:t>
            </w:r>
          </w:p>
        </w:tc>
        <w:tc>
          <w:tcPr>
            <w:tcW w:w="1800" w:type="dxa"/>
            <w:vAlign w:val="center"/>
          </w:tcPr>
          <w:p w:rsidR="00EA545B" w:rsidRDefault="00521F81" w:rsidP="00B40D61">
            <w:pPr>
              <w:pStyle w:val="NoSpacing"/>
              <w:spacing w:after="0"/>
              <w:jc w:val="center"/>
            </w:pPr>
            <w:r>
              <w:t>(</w:t>
            </w:r>
            <w:r w:rsidR="00EA545B">
              <w:t>1</w:t>
            </w:r>
            <w:r>
              <w:t>8,273</w:t>
            </w:r>
            <w:r w:rsidR="00EA545B">
              <w:t>)</w:t>
            </w:r>
          </w:p>
        </w:tc>
        <w:tc>
          <w:tcPr>
            <w:tcW w:w="1458" w:type="dxa"/>
            <w:vAlign w:val="center"/>
          </w:tcPr>
          <w:p w:rsidR="00EA545B" w:rsidRDefault="00521F81" w:rsidP="00B40D61">
            <w:pPr>
              <w:pStyle w:val="NoSpacing"/>
              <w:spacing w:after="0"/>
              <w:jc w:val="center"/>
            </w:pPr>
            <w:r>
              <w:t>(296</w:t>
            </w:r>
            <w:r w:rsidR="00EA545B">
              <w:t>,</w:t>
            </w:r>
            <w:r>
              <w:t>161)</w:t>
            </w:r>
          </w:p>
        </w:tc>
      </w:tr>
      <w:tr w:rsidR="00EA545B" w:rsidTr="00B40D61">
        <w:trPr>
          <w:cantSplit/>
        </w:trPr>
        <w:tc>
          <w:tcPr>
            <w:tcW w:w="4698" w:type="dxa"/>
            <w:vAlign w:val="center"/>
          </w:tcPr>
          <w:p w:rsidR="00EA545B" w:rsidRDefault="00EA545B" w:rsidP="00B40D61">
            <w:pPr>
              <w:pStyle w:val="NoSpacing"/>
              <w:spacing w:after="0"/>
            </w:pPr>
            <w:r>
              <w:t>Net change in unrealized gains</w:t>
            </w:r>
          </w:p>
        </w:tc>
        <w:tc>
          <w:tcPr>
            <w:tcW w:w="1620" w:type="dxa"/>
            <w:vAlign w:val="center"/>
          </w:tcPr>
          <w:p w:rsidR="00EA545B" w:rsidRDefault="00EA545B" w:rsidP="00B40D61">
            <w:pPr>
              <w:pStyle w:val="NoSpacing"/>
              <w:spacing w:after="0"/>
              <w:jc w:val="center"/>
            </w:pPr>
            <w:r>
              <w:t>6</w:t>
            </w:r>
            <w:r w:rsidR="00521F81">
              <w:t>01,179</w:t>
            </w:r>
          </w:p>
        </w:tc>
        <w:tc>
          <w:tcPr>
            <w:tcW w:w="1800" w:type="dxa"/>
            <w:vAlign w:val="center"/>
          </w:tcPr>
          <w:p w:rsidR="00EA545B" w:rsidRDefault="00521F81" w:rsidP="00B40D61">
            <w:pPr>
              <w:pStyle w:val="NoSpacing"/>
              <w:spacing w:after="0"/>
              <w:jc w:val="center"/>
            </w:pPr>
            <w:r>
              <w:t>86</w:t>
            </w:r>
          </w:p>
        </w:tc>
        <w:tc>
          <w:tcPr>
            <w:tcW w:w="1458" w:type="dxa"/>
            <w:vAlign w:val="center"/>
          </w:tcPr>
          <w:p w:rsidR="00EA545B" w:rsidRDefault="00521F81" w:rsidP="00B40D61">
            <w:pPr>
              <w:pStyle w:val="NoSpacing"/>
              <w:spacing w:after="0"/>
              <w:jc w:val="center"/>
            </w:pPr>
            <w:r>
              <w:t>601,265</w:t>
            </w:r>
          </w:p>
        </w:tc>
      </w:tr>
      <w:tr w:rsidR="00EA545B" w:rsidTr="00B40D61">
        <w:trPr>
          <w:cantSplit/>
          <w:trHeight w:val="341"/>
        </w:trPr>
        <w:tc>
          <w:tcPr>
            <w:tcW w:w="4698" w:type="dxa"/>
            <w:vAlign w:val="center"/>
          </w:tcPr>
          <w:p w:rsidR="00EA545B" w:rsidRDefault="00EA545B" w:rsidP="00B40D61">
            <w:pPr>
              <w:pStyle w:val="NoSpacing"/>
              <w:spacing w:after="0"/>
            </w:pPr>
            <w:r>
              <w:t>Life insurance - net of premiums</w:t>
            </w:r>
          </w:p>
        </w:tc>
        <w:tc>
          <w:tcPr>
            <w:tcW w:w="1620" w:type="dxa"/>
            <w:vAlign w:val="center"/>
          </w:tcPr>
          <w:p w:rsidR="00EA545B" w:rsidRPr="00203B87" w:rsidRDefault="00521F81" w:rsidP="00B40D61">
            <w:pPr>
              <w:pStyle w:val="NoSpacing"/>
              <w:spacing w:after="0"/>
              <w:jc w:val="center"/>
              <w:rPr>
                <w:u w:val="single"/>
              </w:rPr>
            </w:pPr>
            <w:r>
              <w:rPr>
                <w:u w:val="single"/>
              </w:rPr>
              <w:t>(112,757</w:t>
            </w:r>
            <w:r w:rsidR="00EA545B">
              <w:rPr>
                <w:u w:val="single"/>
              </w:rPr>
              <w:t>)</w:t>
            </w:r>
          </w:p>
        </w:tc>
        <w:tc>
          <w:tcPr>
            <w:tcW w:w="1800" w:type="dxa"/>
            <w:vAlign w:val="center"/>
          </w:tcPr>
          <w:p w:rsidR="00EA545B" w:rsidRPr="00203B87" w:rsidRDefault="00EA545B" w:rsidP="00B40D61">
            <w:pPr>
              <w:pStyle w:val="NoSpacing"/>
              <w:spacing w:after="0"/>
              <w:jc w:val="center"/>
              <w:rPr>
                <w:u w:val="single"/>
              </w:rPr>
            </w:pPr>
            <w:r w:rsidRPr="00203B87">
              <w:rPr>
                <w:u w:val="single"/>
              </w:rPr>
              <w:t>--</w:t>
            </w:r>
          </w:p>
        </w:tc>
        <w:tc>
          <w:tcPr>
            <w:tcW w:w="1458" w:type="dxa"/>
            <w:vAlign w:val="center"/>
          </w:tcPr>
          <w:p w:rsidR="00EA545B" w:rsidRPr="00203B87" w:rsidRDefault="00521F81" w:rsidP="00B40D61">
            <w:pPr>
              <w:pStyle w:val="NoSpacing"/>
              <w:spacing w:after="0"/>
              <w:jc w:val="center"/>
              <w:rPr>
                <w:u w:val="single"/>
              </w:rPr>
            </w:pPr>
            <w:r>
              <w:rPr>
                <w:u w:val="single"/>
              </w:rPr>
              <w:t>(112,757</w:t>
            </w:r>
            <w:r w:rsidR="00EA545B">
              <w:rPr>
                <w:u w:val="single"/>
              </w:rPr>
              <w:t>)</w:t>
            </w:r>
          </w:p>
        </w:tc>
      </w:tr>
      <w:tr w:rsidR="00EA545B" w:rsidTr="00B40D61">
        <w:trPr>
          <w:cantSplit/>
          <w:trHeight w:val="368"/>
        </w:trPr>
        <w:tc>
          <w:tcPr>
            <w:tcW w:w="4698" w:type="dxa"/>
            <w:vAlign w:val="center"/>
          </w:tcPr>
          <w:p w:rsidR="00EA545B" w:rsidRDefault="00EA545B" w:rsidP="00B40D61">
            <w:pPr>
              <w:pStyle w:val="NoSpacing"/>
              <w:spacing w:after="0"/>
            </w:pPr>
            <w:r>
              <w:t>Net losses on investments</w:t>
            </w:r>
          </w:p>
        </w:tc>
        <w:tc>
          <w:tcPr>
            <w:tcW w:w="1620" w:type="dxa"/>
            <w:vAlign w:val="center"/>
          </w:tcPr>
          <w:p w:rsidR="00EA545B" w:rsidRPr="00203B87" w:rsidRDefault="00521F81" w:rsidP="00B40D61">
            <w:pPr>
              <w:pStyle w:val="NoSpacing"/>
              <w:spacing w:after="0"/>
              <w:jc w:val="center"/>
              <w:rPr>
                <w:u w:val="single"/>
              </w:rPr>
            </w:pPr>
            <w:r>
              <w:rPr>
                <w:u w:val="single"/>
              </w:rPr>
              <w:t>2</w:t>
            </w:r>
            <w:r w:rsidR="00EA545B">
              <w:rPr>
                <w:u w:val="single"/>
              </w:rPr>
              <w:t>1</w:t>
            </w:r>
            <w:r>
              <w:rPr>
                <w:u w:val="single"/>
              </w:rPr>
              <w:t>0,534</w:t>
            </w:r>
          </w:p>
        </w:tc>
        <w:tc>
          <w:tcPr>
            <w:tcW w:w="1800" w:type="dxa"/>
            <w:vAlign w:val="center"/>
          </w:tcPr>
          <w:p w:rsidR="00EA545B" w:rsidRPr="00203B87" w:rsidRDefault="00521F81" w:rsidP="00B40D61">
            <w:pPr>
              <w:pStyle w:val="NoSpacing"/>
              <w:spacing w:after="0"/>
              <w:jc w:val="center"/>
              <w:rPr>
                <w:u w:val="single"/>
              </w:rPr>
            </w:pPr>
            <w:r>
              <w:rPr>
                <w:u w:val="single"/>
              </w:rPr>
              <w:t>(18</w:t>
            </w:r>
            <w:r w:rsidR="00EA545B">
              <w:rPr>
                <w:u w:val="single"/>
              </w:rPr>
              <w:t>,1</w:t>
            </w:r>
            <w:r>
              <w:rPr>
                <w:u w:val="single"/>
              </w:rPr>
              <w:t>87</w:t>
            </w:r>
            <w:r w:rsidR="00EA545B">
              <w:rPr>
                <w:u w:val="single"/>
              </w:rPr>
              <w:t>)</w:t>
            </w:r>
          </w:p>
        </w:tc>
        <w:tc>
          <w:tcPr>
            <w:tcW w:w="1458" w:type="dxa"/>
            <w:vAlign w:val="center"/>
          </w:tcPr>
          <w:p w:rsidR="00EA545B" w:rsidRPr="00203B87" w:rsidRDefault="00521F81" w:rsidP="00B40D61">
            <w:pPr>
              <w:pStyle w:val="NoSpacing"/>
              <w:spacing w:after="0"/>
              <w:jc w:val="center"/>
              <w:rPr>
                <w:u w:val="single"/>
              </w:rPr>
            </w:pPr>
            <w:r>
              <w:rPr>
                <w:u w:val="single"/>
              </w:rPr>
              <w:t>192,347</w:t>
            </w:r>
          </w:p>
        </w:tc>
      </w:tr>
      <w:tr w:rsidR="00EA545B" w:rsidTr="00B40D61">
        <w:trPr>
          <w:cantSplit/>
          <w:trHeight w:val="422"/>
        </w:trPr>
        <w:tc>
          <w:tcPr>
            <w:tcW w:w="4698" w:type="dxa"/>
            <w:vAlign w:val="center"/>
          </w:tcPr>
          <w:p w:rsidR="00EA545B" w:rsidRDefault="00EA545B" w:rsidP="00B40D61">
            <w:pPr>
              <w:pStyle w:val="NoSpacing"/>
              <w:spacing w:after="0"/>
            </w:pPr>
            <w:r>
              <w:t>Total return on investments</w:t>
            </w:r>
          </w:p>
        </w:tc>
        <w:tc>
          <w:tcPr>
            <w:tcW w:w="1620" w:type="dxa"/>
            <w:vAlign w:val="center"/>
          </w:tcPr>
          <w:p w:rsidR="00EA545B" w:rsidRPr="00203B87" w:rsidRDefault="00521F81" w:rsidP="00B40D61">
            <w:pPr>
              <w:pStyle w:val="NoSpacing"/>
              <w:spacing w:after="0"/>
              <w:jc w:val="center"/>
              <w:rPr>
                <w:u w:val="double"/>
              </w:rPr>
            </w:pPr>
            <w:r>
              <w:rPr>
                <w:u w:val="double"/>
              </w:rPr>
              <w:t>$554,537</w:t>
            </w:r>
          </w:p>
        </w:tc>
        <w:tc>
          <w:tcPr>
            <w:tcW w:w="1800" w:type="dxa"/>
            <w:vAlign w:val="center"/>
          </w:tcPr>
          <w:p w:rsidR="00EA545B" w:rsidRPr="00203B87" w:rsidRDefault="00521F81" w:rsidP="00B40D61">
            <w:pPr>
              <w:pStyle w:val="NoSpacing"/>
              <w:spacing w:after="0"/>
              <w:jc w:val="center"/>
              <w:rPr>
                <w:u w:val="double"/>
              </w:rPr>
            </w:pPr>
            <w:r>
              <w:rPr>
                <w:u w:val="double"/>
              </w:rPr>
              <w:t>$68,561</w:t>
            </w:r>
          </w:p>
        </w:tc>
        <w:tc>
          <w:tcPr>
            <w:tcW w:w="1458" w:type="dxa"/>
            <w:vAlign w:val="center"/>
          </w:tcPr>
          <w:p w:rsidR="00EA545B" w:rsidRPr="00203B87" w:rsidRDefault="00521F81" w:rsidP="00B40D61">
            <w:pPr>
              <w:pStyle w:val="NoSpacing"/>
              <w:spacing w:after="0"/>
              <w:jc w:val="center"/>
              <w:rPr>
                <w:u w:val="double"/>
              </w:rPr>
            </w:pPr>
            <w:r>
              <w:rPr>
                <w:u w:val="double"/>
              </w:rPr>
              <w:t>$623,098</w:t>
            </w:r>
          </w:p>
        </w:tc>
      </w:tr>
    </w:tbl>
    <w:p w:rsidR="00EA545B" w:rsidRDefault="00EA545B" w:rsidP="00EA545B">
      <w:pPr>
        <w:pStyle w:val="NoSpacing"/>
        <w:spacing w:before="240"/>
      </w:pPr>
      <w:r>
        <w:t>Expenses relating to investment revenue, including custodial fees and investment</w:t>
      </w:r>
      <w:r w:rsidR="00521F81">
        <w:t xml:space="preserve"> advisory fees, amounted to $126,422</w:t>
      </w:r>
      <w:r>
        <w:t xml:space="preserve"> and have been netted against investment income in the accompanying </w:t>
      </w:r>
      <w:r w:rsidR="00521F81">
        <w:t xml:space="preserve">consolidated </w:t>
      </w:r>
      <w:r>
        <w:t>statements of activities.</w:t>
      </w:r>
    </w:p>
    <w:p w:rsidR="00EA545B" w:rsidRDefault="00EA545B" w:rsidP="00EA545B">
      <w:pPr>
        <w:pStyle w:val="Heading3"/>
      </w:pPr>
      <w:bookmarkStart w:id="58" w:name="_Toc415727712"/>
      <w:r>
        <w:t>NOTE 8 - ALLOCATION OF JOINT COSTS</w:t>
      </w:r>
      <w:bookmarkEnd w:id="58"/>
    </w:p>
    <w:p w:rsidR="00EA545B" w:rsidRPr="00203B87" w:rsidRDefault="00EA545B" w:rsidP="00EA545B">
      <w:r>
        <w:t>The Federation i</w:t>
      </w:r>
      <w:r w:rsidR="00521F81">
        <w:t>ncurred joint costs of $2,761,847</w:t>
      </w:r>
      <w:r>
        <w:t xml:space="preserve"> for informational messages and activities that included fundraisin</w:t>
      </w:r>
      <w:r w:rsidR="00521F81">
        <w:t>g appeals. Of those costs, $1,4</w:t>
      </w:r>
      <w:r>
        <w:t>0</w:t>
      </w:r>
      <w:r w:rsidR="00521F81">
        <w:t>8,542</w:t>
      </w:r>
      <w:r>
        <w:t xml:space="preserve"> was allocated </w:t>
      </w:r>
      <w:r w:rsidR="00521F81">
        <w:t>to fundraising expense and $1,353,305</w:t>
      </w:r>
      <w:r>
        <w:t xml:space="preserve"> was allocated to blindness integration. Management based these allocations on an analysis of the content of the messages, reasons for distributing the messages and the audience to whom the messages were distributed.</w:t>
      </w:r>
    </w:p>
    <w:p w:rsidR="00EA545B" w:rsidRPr="00AC4AD6" w:rsidRDefault="00EA545B" w:rsidP="00EA545B">
      <w:pPr>
        <w:pStyle w:val="NoSpacing"/>
      </w:pPr>
    </w:p>
    <w:p w:rsidR="00EA545B" w:rsidRPr="00BA4F3C" w:rsidRDefault="00EA545B" w:rsidP="00EA545B"/>
    <w:p w:rsidR="00186C45" w:rsidRDefault="00186C45"/>
    <w:sectPr w:rsidR="00186C45" w:rsidSect="00B40D61">
      <w:footerReference w:type="default" r:id="rId11"/>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BE" w:rsidRDefault="007A7CBE">
      <w:r>
        <w:separator/>
      </w:r>
    </w:p>
  </w:endnote>
  <w:endnote w:type="continuationSeparator" w:id="0">
    <w:p w:rsidR="007A7CBE" w:rsidRDefault="007A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2B" w:rsidRDefault="005A7B2B" w:rsidP="00B40D61">
    <w:pPr>
      <w:pStyle w:val="NoSpacing"/>
      <w:jc w:val="center"/>
    </w:pPr>
    <w:r>
      <w:fldChar w:fldCharType="begin"/>
    </w:r>
    <w:r>
      <w:instrText xml:space="preserve"> PAGE   \* MERGEFORMAT </w:instrText>
    </w:r>
    <w:r>
      <w:fldChar w:fldCharType="separate"/>
    </w:r>
    <w:r w:rsidR="00FA0F5C">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2B" w:rsidRDefault="005A7B2B" w:rsidP="00B40D61">
    <w:pPr>
      <w:pStyle w:val="NoSpacing"/>
      <w:jc w:val="center"/>
    </w:pPr>
    <w:r w:rsidRPr="00AC4AD6">
      <w:t>See Independent Auditors' Report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2B" w:rsidRDefault="005A7B2B" w:rsidP="00B40D61">
    <w:pPr>
      <w:pStyle w:val="NoSpacing"/>
      <w:jc w:val="center"/>
      <w:rPr>
        <w:sz w:val="24"/>
        <w:szCs w:val="24"/>
      </w:rPr>
    </w:pPr>
  </w:p>
  <w:p w:rsidR="005A7B2B" w:rsidRPr="00F54080" w:rsidRDefault="005A7B2B" w:rsidP="00B40D61">
    <w:pPr>
      <w:pStyle w:val="NoSpacing"/>
      <w:jc w:val="center"/>
      <w:rPr>
        <w:sz w:val="24"/>
        <w:szCs w:val="24"/>
      </w:rPr>
    </w:pPr>
    <w:r w:rsidRPr="00F54080">
      <w:rPr>
        <w:sz w:val="24"/>
        <w:szCs w:val="24"/>
      </w:rPr>
      <w:t xml:space="preserve">See </w:t>
    </w:r>
    <w:r>
      <w:rPr>
        <w:sz w:val="24"/>
        <w:szCs w:val="24"/>
      </w:rPr>
      <w:t>Accompanying Notes to Financial Statements</w:t>
    </w:r>
  </w:p>
  <w:p w:rsidR="005A7B2B" w:rsidRPr="00F54080" w:rsidRDefault="005A7B2B" w:rsidP="00B40D61">
    <w:pPr>
      <w:pStyle w:val="NoSpacing"/>
      <w:jc w:val="center"/>
    </w:pPr>
    <w:r>
      <w:fldChar w:fldCharType="begin"/>
    </w:r>
    <w:r>
      <w:instrText xml:space="preserve"> PAGE   \* MERGEFORMAT </w:instrText>
    </w:r>
    <w:r>
      <w:fldChar w:fldCharType="separate"/>
    </w:r>
    <w:r w:rsidR="00FA0F5C">
      <w:rPr>
        <w:noProof/>
      </w:rPr>
      <w:t>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2B" w:rsidRPr="00F54080" w:rsidRDefault="005A7B2B" w:rsidP="00B40D61">
    <w:pPr>
      <w:pStyle w:val="NoSpacing"/>
      <w:jc w:val="center"/>
    </w:pPr>
    <w:r>
      <w:fldChar w:fldCharType="begin"/>
    </w:r>
    <w:r>
      <w:instrText xml:space="preserve"> PAGE   \* MERGEFORMAT </w:instrText>
    </w:r>
    <w:r>
      <w:fldChar w:fldCharType="separate"/>
    </w:r>
    <w:r w:rsidR="00FA0F5C">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BE" w:rsidRDefault="007A7CBE">
      <w:r>
        <w:separator/>
      </w:r>
    </w:p>
  </w:footnote>
  <w:footnote w:type="continuationSeparator" w:id="0">
    <w:p w:rsidR="007A7CBE" w:rsidRDefault="007A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C33E8"/>
    <w:multiLevelType w:val="hybridMultilevel"/>
    <w:tmpl w:val="2AD6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rjdrMDtONh6LkAUcZ9fKvSQGWcc=" w:salt="V100/ItXoyiUwmxaRXm5B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5B"/>
    <w:rsid w:val="00005FCE"/>
    <w:rsid w:val="000D31B5"/>
    <w:rsid w:val="00186C45"/>
    <w:rsid w:val="001D1269"/>
    <w:rsid w:val="00347FD7"/>
    <w:rsid w:val="00356B60"/>
    <w:rsid w:val="00406A7C"/>
    <w:rsid w:val="00521F81"/>
    <w:rsid w:val="005A7B2B"/>
    <w:rsid w:val="00724C40"/>
    <w:rsid w:val="007A2974"/>
    <w:rsid w:val="007A7CBE"/>
    <w:rsid w:val="00851B06"/>
    <w:rsid w:val="00974995"/>
    <w:rsid w:val="00A00D36"/>
    <w:rsid w:val="00A04B76"/>
    <w:rsid w:val="00A3183B"/>
    <w:rsid w:val="00A45B8F"/>
    <w:rsid w:val="00A711FE"/>
    <w:rsid w:val="00A903FC"/>
    <w:rsid w:val="00A9726D"/>
    <w:rsid w:val="00B221C6"/>
    <w:rsid w:val="00B40D61"/>
    <w:rsid w:val="00C83F16"/>
    <w:rsid w:val="00CB534E"/>
    <w:rsid w:val="00CE27E9"/>
    <w:rsid w:val="00DB3F85"/>
    <w:rsid w:val="00E00C2A"/>
    <w:rsid w:val="00E61AF8"/>
    <w:rsid w:val="00E65D07"/>
    <w:rsid w:val="00EA545B"/>
    <w:rsid w:val="00EC16C4"/>
    <w:rsid w:val="00FA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EA545B"/>
    <w:pPr>
      <w:keepNext/>
      <w:keepLines/>
      <w:jc w:val="center"/>
      <w:outlineLvl w:val="0"/>
    </w:pPr>
    <w:rPr>
      <w:rFonts w:eastAsiaTheme="majorEastAsia"/>
      <w:b/>
      <w:bCs/>
    </w:rPr>
  </w:style>
  <w:style w:type="paragraph" w:styleId="Heading2">
    <w:name w:val="heading 2"/>
    <w:basedOn w:val="Normal"/>
    <w:next w:val="Normal"/>
    <w:link w:val="Heading2Char"/>
    <w:uiPriority w:val="9"/>
    <w:unhideWhenUsed/>
    <w:qFormat/>
    <w:rsid w:val="00EA545B"/>
    <w:pPr>
      <w:keepNext/>
      <w:keepLines/>
      <w:jc w:val="center"/>
      <w:outlineLvl w:val="1"/>
    </w:pPr>
    <w:rPr>
      <w:rFonts w:eastAsiaTheme="majorEastAsia" w:cstheme="majorBidi"/>
      <w:b/>
      <w:bCs/>
      <w:color w:val="1D1D1D"/>
      <w:szCs w:val="26"/>
    </w:rPr>
  </w:style>
  <w:style w:type="paragraph" w:styleId="Heading3">
    <w:name w:val="heading 3"/>
    <w:basedOn w:val="NoSpacing"/>
    <w:next w:val="Normal"/>
    <w:link w:val="Heading3Char"/>
    <w:uiPriority w:val="9"/>
    <w:unhideWhenUsed/>
    <w:qFormat/>
    <w:rsid w:val="00EA545B"/>
    <w:pPr>
      <w:spacing w:before="240"/>
      <w:outlineLvl w:val="2"/>
    </w:pPr>
    <w:rPr>
      <w:b/>
    </w:rPr>
  </w:style>
  <w:style w:type="paragraph" w:styleId="Heading4">
    <w:name w:val="heading 4"/>
    <w:basedOn w:val="Heading3"/>
    <w:next w:val="Normal"/>
    <w:link w:val="Heading4Char"/>
    <w:uiPriority w:val="9"/>
    <w:unhideWhenUsed/>
    <w:qFormat/>
    <w:rsid w:val="00EA545B"/>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5B"/>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EA545B"/>
    <w:rPr>
      <w:rFonts w:ascii="Times New Roman" w:eastAsiaTheme="majorEastAsia" w:hAnsi="Times New Roman" w:cstheme="majorBidi"/>
      <w:b/>
      <w:bCs/>
      <w:color w:val="1D1D1D"/>
      <w:sz w:val="28"/>
      <w:szCs w:val="26"/>
    </w:rPr>
  </w:style>
  <w:style w:type="character" w:customStyle="1" w:styleId="Heading3Char">
    <w:name w:val="Heading 3 Char"/>
    <w:basedOn w:val="DefaultParagraphFont"/>
    <w:link w:val="Heading3"/>
    <w:uiPriority w:val="9"/>
    <w:rsid w:val="00EA545B"/>
    <w:rPr>
      <w:rFonts w:ascii="Times New Roman" w:hAnsi="Times New Roman" w:cs="Times New Roman"/>
      <w:b/>
      <w:sz w:val="28"/>
      <w:szCs w:val="28"/>
    </w:rPr>
  </w:style>
  <w:style w:type="character" w:customStyle="1" w:styleId="Heading4Char">
    <w:name w:val="Heading 4 Char"/>
    <w:basedOn w:val="DefaultParagraphFont"/>
    <w:link w:val="Heading4"/>
    <w:uiPriority w:val="9"/>
    <w:rsid w:val="00EA545B"/>
    <w:rPr>
      <w:rFonts w:ascii="Times New Roman" w:eastAsiaTheme="majorEastAsia" w:hAnsi="Times New Roman" w:cstheme="majorBidi"/>
      <w:b/>
      <w:bCs/>
      <w:iCs/>
      <w:sz w:val="28"/>
      <w:szCs w:val="28"/>
      <w:u w:val="single"/>
    </w:rPr>
  </w:style>
  <w:style w:type="paragraph" w:styleId="NoSpacing">
    <w:name w:val="No Spacing"/>
    <w:uiPriority w:val="1"/>
    <w:qFormat/>
    <w:rsid w:val="00EA545B"/>
    <w:pPr>
      <w:spacing w:after="240" w:line="240" w:lineRule="auto"/>
    </w:pPr>
    <w:rPr>
      <w:rFonts w:ascii="Times New Roman" w:hAnsi="Times New Roman" w:cs="Times New Roman"/>
      <w:sz w:val="28"/>
      <w:szCs w:val="28"/>
    </w:rPr>
  </w:style>
  <w:style w:type="table" w:styleId="TableGrid">
    <w:name w:val="Table Grid"/>
    <w:basedOn w:val="TableNormal"/>
    <w:uiPriority w:val="59"/>
    <w:rsid w:val="00E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45B"/>
    <w:pPr>
      <w:tabs>
        <w:tab w:val="center" w:pos="4680"/>
        <w:tab w:val="right" w:pos="9360"/>
      </w:tabs>
    </w:pPr>
  </w:style>
  <w:style w:type="character" w:customStyle="1" w:styleId="HeaderChar">
    <w:name w:val="Header Char"/>
    <w:basedOn w:val="DefaultParagraphFont"/>
    <w:link w:val="Header"/>
    <w:uiPriority w:val="99"/>
    <w:rsid w:val="00EA545B"/>
    <w:rPr>
      <w:rFonts w:ascii="Times New Roman" w:hAnsi="Times New Roman" w:cs="Times New Roman"/>
      <w:sz w:val="28"/>
      <w:szCs w:val="28"/>
    </w:rPr>
  </w:style>
  <w:style w:type="paragraph" w:styleId="Footer">
    <w:name w:val="footer"/>
    <w:basedOn w:val="Normal"/>
    <w:link w:val="FooterChar"/>
    <w:uiPriority w:val="99"/>
    <w:unhideWhenUsed/>
    <w:rsid w:val="00EA545B"/>
    <w:pPr>
      <w:tabs>
        <w:tab w:val="center" w:pos="4680"/>
        <w:tab w:val="right" w:pos="9360"/>
      </w:tabs>
    </w:pPr>
  </w:style>
  <w:style w:type="character" w:customStyle="1" w:styleId="FooterChar">
    <w:name w:val="Footer Char"/>
    <w:basedOn w:val="DefaultParagraphFont"/>
    <w:link w:val="Footer"/>
    <w:uiPriority w:val="99"/>
    <w:rsid w:val="00EA545B"/>
    <w:rPr>
      <w:rFonts w:ascii="Times New Roman" w:hAnsi="Times New Roman" w:cs="Times New Roman"/>
      <w:sz w:val="28"/>
      <w:szCs w:val="28"/>
    </w:rPr>
  </w:style>
  <w:style w:type="paragraph" w:styleId="TOCHeading">
    <w:name w:val="TOC Heading"/>
    <w:basedOn w:val="Heading1"/>
    <w:next w:val="Normal"/>
    <w:uiPriority w:val="39"/>
    <w:unhideWhenUsed/>
    <w:qFormat/>
    <w:rsid w:val="00EA545B"/>
    <w:pPr>
      <w:spacing w:before="480" w:line="276" w:lineRule="auto"/>
      <w:jc w:val="left"/>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FA0F5C"/>
    <w:pPr>
      <w:tabs>
        <w:tab w:val="right" w:leader="dot" w:pos="9350"/>
      </w:tabs>
      <w:spacing w:after="100"/>
    </w:pPr>
    <w:rPr>
      <w:b/>
      <w:noProof/>
    </w:rPr>
  </w:style>
  <w:style w:type="paragraph" w:styleId="TOC2">
    <w:name w:val="toc 2"/>
    <w:basedOn w:val="Normal"/>
    <w:next w:val="Normal"/>
    <w:autoRedefine/>
    <w:uiPriority w:val="39"/>
    <w:unhideWhenUsed/>
    <w:qFormat/>
    <w:rsid w:val="00EA545B"/>
    <w:pPr>
      <w:spacing w:after="100"/>
      <w:ind w:left="280"/>
    </w:pPr>
  </w:style>
  <w:style w:type="paragraph" w:styleId="TOC3">
    <w:name w:val="toc 3"/>
    <w:basedOn w:val="Normal"/>
    <w:next w:val="Normal"/>
    <w:autoRedefine/>
    <w:uiPriority w:val="39"/>
    <w:unhideWhenUsed/>
    <w:qFormat/>
    <w:rsid w:val="00EA545B"/>
    <w:pPr>
      <w:spacing w:after="100"/>
      <w:ind w:left="560"/>
    </w:pPr>
  </w:style>
  <w:style w:type="character" w:styleId="Hyperlink">
    <w:name w:val="Hyperlink"/>
    <w:basedOn w:val="DefaultParagraphFont"/>
    <w:uiPriority w:val="99"/>
    <w:unhideWhenUsed/>
    <w:rsid w:val="00EA545B"/>
    <w:rPr>
      <w:color w:val="0000FF" w:themeColor="hyperlink"/>
      <w:u w:val="single"/>
    </w:rPr>
  </w:style>
  <w:style w:type="paragraph" w:styleId="BalloonText">
    <w:name w:val="Balloon Text"/>
    <w:basedOn w:val="Normal"/>
    <w:link w:val="BalloonTextChar"/>
    <w:uiPriority w:val="99"/>
    <w:semiHidden/>
    <w:unhideWhenUsed/>
    <w:rsid w:val="00EA545B"/>
    <w:rPr>
      <w:rFonts w:ascii="Tahoma" w:hAnsi="Tahoma" w:cs="Tahoma"/>
      <w:sz w:val="16"/>
      <w:szCs w:val="16"/>
    </w:rPr>
  </w:style>
  <w:style w:type="character" w:customStyle="1" w:styleId="BalloonTextChar">
    <w:name w:val="Balloon Text Char"/>
    <w:basedOn w:val="DefaultParagraphFont"/>
    <w:link w:val="BalloonText"/>
    <w:uiPriority w:val="99"/>
    <w:semiHidden/>
    <w:rsid w:val="00EA5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pPr>
      <w:spacing w:after="0" w:line="240"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EA545B"/>
    <w:pPr>
      <w:keepNext/>
      <w:keepLines/>
      <w:jc w:val="center"/>
      <w:outlineLvl w:val="0"/>
    </w:pPr>
    <w:rPr>
      <w:rFonts w:eastAsiaTheme="majorEastAsia"/>
      <w:b/>
      <w:bCs/>
    </w:rPr>
  </w:style>
  <w:style w:type="paragraph" w:styleId="Heading2">
    <w:name w:val="heading 2"/>
    <w:basedOn w:val="Normal"/>
    <w:next w:val="Normal"/>
    <w:link w:val="Heading2Char"/>
    <w:uiPriority w:val="9"/>
    <w:unhideWhenUsed/>
    <w:qFormat/>
    <w:rsid w:val="00EA545B"/>
    <w:pPr>
      <w:keepNext/>
      <w:keepLines/>
      <w:jc w:val="center"/>
      <w:outlineLvl w:val="1"/>
    </w:pPr>
    <w:rPr>
      <w:rFonts w:eastAsiaTheme="majorEastAsia" w:cstheme="majorBidi"/>
      <w:b/>
      <w:bCs/>
      <w:color w:val="1D1D1D"/>
      <w:szCs w:val="26"/>
    </w:rPr>
  </w:style>
  <w:style w:type="paragraph" w:styleId="Heading3">
    <w:name w:val="heading 3"/>
    <w:basedOn w:val="NoSpacing"/>
    <w:next w:val="Normal"/>
    <w:link w:val="Heading3Char"/>
    <w:uiPriority w:val="9"/>
    <w:unhideWhenUsed/>
    <w:qFormat/>
    <w:rsid w:val="00EA545B"/>
    <w:pPr>
      <w:spacing w:before="240"/>
      <w:outlineLvl w:val="2"/>
    </w:pPr>
    <w:rPr>
      <w:b/>
    </w:rPr>
  </w:style>
  <w:style w:type="paragraph" w:styleId="Heading4">
    <w:name w:val="heading 4"/>
    <w:basedOn w:val="Heading3"/>
    <w:next w:val="Normal"/>
    <w:link w:val="Heading4Char"/>
    <w:uiPriority w:val="9"/>
    <w:unhideWhenUsed/>
    <w:qFormat/>
    <w:rsid w:val="00EA545B"/>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45B"/>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EA545B"/>
    <w:rPr>
      <w:rFonts w:ascii="Times New Roman" w:eastAsiaTheme="majorEastAsia" w:hAnsi="Times New Roman" w:cstheme="majorBidi"/>
      <w:b/>
      <w:bCs/>
      <w:color w:val="1D1D1D"/>
      <w:sz w:val="28"/>
      <w:szCs w:val="26"/>
    </w:rPr>
  </w:style>
  <w:style w:type="character" w:customStyle="1" w:styleId="Heading3Char">
    <w:name w:val="Heading 3 Char"/>
    <w:basedOn w:val="DefaultParagraphFont"/>
    <w:link w:val="Heading3"/>
    <w:uiPriority w:val="9"/>
    <w:rsid w:val="00EA545B"/>
    <w:rPr>
      <w:rFonts w:ascii="Times New Roman" w:hAnsi="Times New Roman" w:cs="Times New Roman"/>
      <w:b/>
      <w:sz w:val="28"/>
      <w:szCs w:val="28"/>
    </w:rPr>
  </w:style>
  <w:style w:type="character" w:customStyle="1" w:styleId="Heading4Char">
    <w:name w:val="Heading 4 Char"/>
    <w:basedOn w:val="DefaultParagraphFont"/>
    <w:link w:val="Heading4"/>
    <w:uiPriority w:val="9"/>
    <w:rsid w:val="00EA545B"/>
    <w:rPr>
      <w:rFonts w:ascii="Times New Roman" w:eastAsiaTheme="majorEastAsia" w:hAnsi="Times New Roman" w:cstheme="majorBidi"/>
      <w:b/>
      <w:bCs/>
      <w:iCs/>
      <w:sz w:val="28"/>
      <w:szCs w:val="28"/>
      <w:u w:val="single"/>
    </w:rPr>
  </w:style>
  <w:style w:type="paragraph" w:styleId="NoSpacing">
    <w:name w:val="No Spacing"/>
    <w:uiPriority w:val="1"/>
    <w:qFormat/>
    <w:rsid w:val="00EA545B"/>
    <w:pPr>
      <w:spacing w:after="240" w:line="240" w:lineRule="auto"/>
    </w:pPr>
    <w:rPr>
      <w:rFonts w:ascii="Times New Roman" w:hAnsi="Times New Roman" w:cs="Times New Roman"/>
      <w:sz w:val="28"/>
      <w:szCs w:val="28"/>
    </w:rPr>
  </w:style>
  <w:style w:type="table" w:styleId="TableGrid">
    <w:name w:val="Table Grid"/>
    <w:basedOn w:val="TableNormal"/>
    <w:uiPriority w:val="59"/>
    <w:rsid w:val="00EA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45B"/>
    <w:pPr>
      <w:tabs>
        <w:tab w:val="center" w:pos="4680"/>
        <w:tab w:val="right" w:pos="9360"/>
      </w:tabs>
    </w:pPr>
  </w:style>
  <w:style w:type="character" w:customStyle="1" w:styleId="HeaderChar">
    <w:name w:val="Header Char"/>
    <w:basedOn w:val="DefaultParagraphFont"/>
    <w:link w:val="Header"/>
    <w:uiPriority w:val="99"/>
    <w:rsid w:val="00EA545B"/>
    <w:rPr>
      <w:rFonts w:ascii="Times New Roman" w:hAnsi="Times New Roman" w:cs="Times New Roman"/>
      <w:sz w:val="28"/>
      <w:szCs w:val="28"/>
    </w:rPr>
  </w:style>
  <w:style w:type="paragraph" w:styleId="Footer">
    <w:name w:val="footer"/>
    <w:basedOn w:val="Normal"/>
    <w:link w:val="FooterChar"/>
    <w:uiPriority w:val="99"/>
    <w:unhideWhenUsed/>
    <w:rsid w:val="00EA545B"/>
    <w:pPr>
      <w:tabs>
        <w:tab w:val="center" w:pos="4680"/>
        <w:tab w:val="right" w:pos="9360"/>
      </w:tabs>
    </w:pPr>
  </w:style>
  <w:style w:type="character" w:customStyle="1" w:styleId="FooterChar">
    <w:name w:val="Footer Char"/>
    <w:basedOn w:val="DefaultParagraphFont"/>
    <w:link w:val="Footer"/>
    <w:uiPriority w:val="99"/>
    <w:rsid w:val="00EA545B"/>
    <w:rPr>
      <w:rFonts w:ascii="Times New Roman" w:hAnsi="Times New Roman" w:cs="Times New Roman"/>
      <w:sz w:val="28"/>
      <w:szCs w:val="28"/>
    </w:rPr>
  </w:style>
  <w:style w:type="paragraph" w:styleId="TOCHeading">
    <w:name w:val="TOC Heading"/>
    <w:basedOn w:val="Heading1"/>
    <w:next w:val="Normal"/>
    <w:uiPriority w:val="39"/>
    <w:unhideWhenUsed/>
    <w:qFormat/>
    <w:rsid w:val="00EA545B"/>
    <w:pPr>
      <w:spacing w:before="480" w:line="276" w:lineRule="auto"/>
      <w:jc w:val="left"/>
      <w:outlineLvl w:val="9"/>
    </w:pPr>
    <w:rPr>
      <w:rFonts w:asciiTheme="majorHAnsi" w:hAnsiTheme="majorHAnsi" w:cstheme="majorBidi"/>
      <w:color w:val="365F91" w:themeColor="accent1" w:themeShade="BF"/>
      <w:lang w:eastAsia="ja-JP"/>
    </w:rPr>
  </w:style>
  <w:style w:type="paragraph" w:styleId="TOC1">
    <w:name w:val="toc 1"/>
    <w:basedOn w:val="Normal"/>
    <w:next w:val="Normal"/>
    <w:autoRedefine/>
    <w:uiPriority w:val="39"/>
    <w:unhideWhenUsed/>
    <w:qFormat/>
    <w:rsid w:val="00FA0F5C"/>
    <w:pPr>
      <w:tabs>
        <w:tab w:val="right" w:leader="dot" w:pos="9350"/>
      </w:tabs>
      <w:spacing w:after="100"/>
    </w:pPr>
    <w:rPr>
      <w:b/>
      <w:noProof/>
    </w:rPr>
  </w:style>
  <w:style w:type="paragraph" w:styleId="TOC2">
    <w:name w:val="toc 2"/>
    <w:basedOn w:val="Normal"/>
    <w:next w:val="Normal"/>
    <w:autoRedefine/>
    <w:uiPriority w:val="39"/>
    <w:unhideWhenUsed/>
    <w:qFormat/>
    <w:rsid w:val="00EA545B"/>
    <w:pPr>
      <w:spacing w:after="100"/>
      <w:ind w:left="280"/>
    </w:pPr>
  </w:style>
  <w:style w:type="paragraph" w:styleId="TOC3">
    <w:name w:val="toc 3"/>
    <w:basedOn w:val="Normal"/>
    <w:next w:val="Normal"/>
    <w:autoRedefine/>
    <w:uiPriority w:val="39"/>
    <w:unhideWhenUsed/>
    <w:qFormat/>
    <w:rsid w:val="00EA545B"/>
    <w:pPr>
      <w:spacing w:after="100"/>
      <w:ind w:left="560"/>
    </w:pPr>
  </w:style>
  <w:style w:type="character" w:styleId="Hyperlink">
    <w:name w:val="Hyperlink"/>
    <w:basedOn w:val="DefaultParagraphFont"/>
    <w:uiPriority w:val="99"/>
    <w:unhideWhenUsed/>
    <w:rsid w:val="00EA545B"/>
    <w:rPr>
      <w:color w:val="0000FF" w:themeColor="hyperlink"/>
      <w:u w:val="single"/>
    </w:rPr>
  </w:style>
  <w:style w:type="paragraph" w:styleId="BalloonText">
    <w:name w:val="Balloon Text"/>
    <w:basedOn w:val="Normal"/>
    <w:link w:val="BalloonTextChar"/>
    <w:uiPriority w:val="99"/>
    <w:semiHidden/>
    <w:unhideWhenUsed/>
    <w:rsid w:val="00EA545B"/>
    <w:rPr>
      <w:rFonts w:ascii="Tahoma" w:hAnsi="Tahoma" w:cs="Tahoma"/>
      <w:sz w:val="16"/>
      <w:szCs w:val="16"/>
    </w:rPr>
  </w:style>
  <w:style w:type="character" w:customStyle="1" w:styleId="BalloonTextChar">
    <w:name w:val="Balloon Text Char"/>
    <w:basedOn w:val="DefaultParagraphFont"/>
    <w:link w:val="BalloonText"/>
    <w:uiPriority w:val="99"/>
    <w:semiHidden/>
    <w:rsid w:val="00EA5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5851</Words>
  <Characters>33352</Characters>
  <Application>Microsoft Office Word</Application>
  <DocSecurity>8</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Lambright</dc:creator>
  <cp:lastModifiedBy>Burke, Bridgid</cp:lastModifiedBy>
  <cp:revision>4</cp:revision>
  <dcterms:created xsi:type="dcterms:W3CDTF">2017-06-06T14:50:00Z</dcterms:created>
  <dcterms:modified xsi:type="dcterms:W3CDTF">2017-06-16T20:09:00Z</dcterms:modified>
</cp:coreProperties>
</file>