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5B" w:rsidRPr="0068441A" w:rsidRDefault="000E41F6" w:rsidP="00BB1894">
      <w:pPr>
        <w:rPr>
          <w:b/>
          <w:sz w:val="28"/>
          <w:szCs w:val="28"/>
        </w:rPr>
      </w:pPr>
      <w:bookmarkStart w:id="0" w:name="_GoBack"/>
      <w:bookmarkEnd w:id="0"/>
      <w:r>
        <w:rPr>
          <w:b/>
          <w:sz w:val="28"/>
          <w:szCs w:val="28"/>
        </w:rPr>
        <w:t>Students with Disabilities who may require alternate format materials</w:t>
      </w:r>
    </w:p>
    <w:tbl>
      <w:tblPr>
        <w:tblW w:w="0" w:type="auto"/>
        <w:tblInd w:w="92" w:type="dxa"/>
        <w:tblLook w:val="0000" w:firstRow="0" w:lastRow="0" w:firstColumn="0" w:lastColumn="0" w:noHBand="0" w:noVBand="0"/>
      </w:tblPr>
      <w:tblGrid>
        <w:gridCol w:w="2963"/>
        <w:gridCol w:w="1491"/>
        <w:gridCol w:w="1238"/>
        <w:gridCol w:w="7392"/>
      </w:tblGrid>
      <w:tr w:rsidR="00A72949" w:rsidRPr="0068441A">
        <w:trPr>
          <w:trHeight w:val="286"/>
        </w:trPr>
        <w:tc>
          <w:tcPr>
            <w:tcW w:w="2963" w:type="dxa"/>
            <w:tcBorders>
              <w:top w:val="single" w:sz="8" w:space="0" w:color="auto"/>
              <w:left w:val="single" w:sz="8" w:space="0" w:color="auto"/>
              <w:bottom w:val="single" w:sz="8" w:space="0" w:color="auto"/>
              <w:right w:val="single" w:sz="8" w:space="0" w:color="auto"/>
            </w:tcBorders>
            <w:shd w:val="clear" w:color="auto" w:fill="CCFFFF"/>
          </w:tcPr>
          <w:p w:rsidR="00A72949" w:rsidRPr="0068441A" w:rsidRDefault="000E41F6" w:rsidP="00A72949">
            <w:pPr>
              <w:spacing w:after="0" w:line="240" w:lineRule="auto"/>
              <w:rPr>
                <w:rFonts w:ascii="Calibri" w:hAnsi="Calibri"/>
                <w:b/>
                <w:bCs/>
              </w:rPr>
            </w:pPr>
            <w:r w:rsidRPr="0068441A">
              <w:rPr>
                <w:rFonts w:ascii="Calibri" w:hAnsi="Calibri"/>
                <w:b/>
                <w:bCs/>
              </w:rPr>
              <w:t>Group</w:t>
            </w:r>
          </w:p>
        </w:tc>
        <w:tc>
          <w:tcPr>
            <w:tcW w:w="1491" w:type="dxa"/>
            <w:tcBorders>
              <w:top w:val="single" w:sz="8" w:space="0" w:color="auto"/>
              <w:left w:val="nil"/>
              <w:bottom w:val="single" w:sz="8" w:space="0" w:color="auto"/>
              <w:right w:val="single" w:sz="8" w:space="0" w:color="auto"/>
            </w:tcBorders>
            <w:shd w:val="clear" w:color="auto" w:fill="CCFFFF"/>
          </w:tcPr>
          <w:p w:rsidR="00A72949" w:rsidRPr="0068441A" w:rsidRDefault="000E41F6" w:rsidP="0068441A">
            <w:pPr>
              <w:spacing w:after="0" w:line="240" w:lineRule="auto"/>
              <w:rPr>
                <w:rFonts w:ascii="Calibri" w:hAnsi="Calibri"/>
                <w:b/>
                <w:bCs/>
              </w:rPr>
            </w:pPr>
            <w:r w:rsidRPr="0068441A">
              <w:rPr>
                <w:rFonts w:ascii="Calibri" w:hAnsi="Calibri"/>
                <w:b/>
                <w:bCs/>
              </w:rPr>
              <w:t>Student Count</w:t>
            </w:r>
          </w:p>
        </w:tc>
        <w:tc>
          <w:tcPr>
            <w:tcW w:w="1238" w:type="dxa"/>
            <w:tcBorders>
              <w:top w:val="single" w:sz="8" w:space="0" w:color="auto"/>
              <w:left w:val="nil"/>
              <w:bottom w:val="single" w:sz="8" w:space="0" w:color="auto"/>
              <w:right w:val="single" w:sz="8" w:space="0" w:color="auto"/>
            </w:tcBorders>
            <w:shd w:val="clear" w:color="auto" w:fill="CCFFFF"/>
          </w:tcPr>
          <w:p w:rsidR="00A72949" w:rsidRPr="0068441A" w:rsidRDefault="000E41F6" w:rsidP="0068441A">
            <w:pPr>
              <w:spacing w:after="0" w:line="240" w:lineRule="auto"/>
              <w:rPr>
                <w:rFonts w:ascii="Calibri" w:hAnsi="Calibri"/>
                <w:b/>
                <w:bCs/>
              </w:rPr>
            </w:pPr>
            <w:r w:rsidRPr="0068441A">
              <w:rPr>
                <w:rFonts w:ascii="Calibri" w:hAnsi="Calibri"/>
                <w:b/>
                <w:bCs/>
              </w:rPr>
              <w:t xml:space="preserve">% of Total </w:t>
            </w:r>
          </w:p>
        </w:tc>
        <w:tc>
          <w:tcPr>
            <w:tcW w:w="7392" w:type="dxa"/>
            <w:tcBorders>
              <w:top w:val="single" w:sz="8" w:space="0" w:color="auto"/>
              <w:left w:val="nil"/>
              <w:bottom w:val="single" w:sz="8" w:space="0" w:color="auto"/>
              <w:right w:val="single" w:sz="8" w:space="0" w:color="auto"/>
            </w:tcBorders>
            <w:shd w:val="clear" w:color="auto" w:fill="CCFFFF"/>
          </w:tcPr>
          <w:p w:rsidR="00A72949" w:rsidRPr="0068441A" w:rsidRDefault="000E41F6" w:rsidP="00A72949">
            <w:pPr>
              <w:spacing w:after="0" w:line="240" w:lineRule="auto"/>
              <w:rPr>
                <w:rFonts w:ascii="Calibri" w:hAnsi="Calibri"/>
                <w:b/>
                <w:bCs/>
              </w:rPr>
            </w:pPr>
            <w:r w:rsidRPr="0068441A">
              <w:rPr>
                <w:rFonts w:ascii="Calibri" w:hAnsi="Calibri"/>
                <w:b/>
                <w:bCs/>
              </w:rPr>
              <w:t>Source</w:t>
            </w:r>
          </w:p>
        </w:tc>
      </w:tr>
      <w:tr w:rsidR="00A72949" w:rsidRPr="0068441A">
        <w:trPr>
          <w:trHeight w:val="540"/>
        </w:trPr>
        <w:tc>
          <w:tcPr>
            <w:tcW w:w="2963" w:type="dxa"/>
            <w:tcBorders>
              <w:top w:val="nil"/>
              <w:left w:val="single" w:sz="8" w:space="0" w:color="auto"/>
              <w:bottom w:val="single" w:sz="8" w:space="0" w:color="auto"/>
              <w:right w:val="single" w:sz="8" w:space="0" w:color="auto"/>
            </w:tcBorders>
            <w:shd w:val="clear" w:color="auto" w:fill="FFFFFF"/>
          </w:tcPr>
          <w:p w:rsidR="00A72949" w:rsidRPr="0068441A" w:rsidRDefault="000E41F6" w:rsidP="00A72949">
            <w:pPr>
              <w:spacing w:after="0" w:line="240" w:lineRule="auto"/>
              <w:rPr>
                <w:rFonts w:ascii="Calibri" w:hAnsi="Calibri"/>
                <w:sz w:val="20"/>
                <w:szCs w:val="20"/>
              </w:rPr>
            </w:pPr>
            <w:r w:rsidRPr="0068441A">
              <w:rPr>
                <w:rFonts w:ascii="Calibri" w:hAnsi="Calibri"/>
                <w:sz w:val="20"/>
                <w:szCs w:val="20"/>
              </w:rPr>
              <w:t>Number of Children – Age 3-21</w:t>
            </w:r>
          </w:p>
        </w:tc>
        <w:tc>
          <w:tcPr>
            <w:tcW w:w="1491" w:type="dxa"/>
            <w:tcBorders>
              <w:top w:val="nil"/>
              <w:left w:val="nil"/>
              <w:bottom w:val="single" w:sz="8" w:space="0" w:color="auto"/>
              <w:right w:val="single" w:sz="8" w:space="0" w:color="auto"/>
            </w:tcBorders>
            <w:shd w:val="clear" w:color="auto" w:fill="FFFFFF"/>
          </w:tcPr>
          <w:p w:rsidR="00A72949" w:rsidRPr="0068441A" w:rsidRDefault="000E41F6" w:rsidP="0068441A">
            <w:pPr>
              <w:spacing w:after="0" w:line="240" w:lineRule="auto"/>
              <w:rPr>
                <w:rFonts w:ascii="Calibri" w:hAnsi="Calibri"/>
                <w:b/>
                <w:bCs/>
                <w:sz w:val="20"/>
                <w:szCs w:val="20"/>
              </w:rPr>
            </w:pPr>
            <w:r w:rsidRPr="0068441A">
              <w:rPr>
                <w:rFonts w:ascii="Calibri" w:hAnsi="Calibri"/>
                <w:b/>
                <w:bCs/>
                <w:sz w:val="20"/>
                <w:szCs w:val="20"/>
              </w:rPr>
              <w:t>77,927,000</w:t>
            </w:r>
          </w:p>
        </w:tc>
        <w:tc>
          <w:tcPr>
            <w:tcW w:w="1238" w:type="dxa"/>
            <w:tcBorders>
              <w:top w:val="nil"/>
              <w:left w:val="nil"/>
              <w:bottom w:val="single" w:sz="8" w:space="0" w:color="auto"/>
              <w:right w:val="single" w:sz="8" w:space="0" w:color="auto"/>
            </w:tcBorders>
            <w:shd w:val="clear" w:color="auto" w:fill="FFFFFF"/>
          </w:tcPr>
          <w:p w:rsidR="00A72949" w:rsidRPr="0068441A" w:rsidRDefault="000E41F6" w:rsidP="0068441A">
            <w:pPr>
              <w:spacing w:after="0" w:line="240" w:lineRule="auto"/>
              <w:rPr>
                <w:rFonts w:ascii="Calibri" w:hAnsi="Calibri"/>
                <w:b/>
                <w:bCs/>
                <w:sz w:val="20"/>
                <w:szCs w:val="20"/>
              </w:rPr>
            </w:pPr>
            <w:r w:rsidRPr="0068441A">
              <w:rPr>
                <w:rFonts w:ascii="Calibri" w:hAnsi="Calibri"/>
                <w:b/>
                <w:bCs/>
                <w:sz w:val="20"/>
                <w:szCs w:val="20"/>
              </w:rPr>
              <w:t>-</w:t>
            </w:r>
          </w:p>
        </w:tc>
        <w:tc>
          <w:tcPr>
            <w:tcW w:w="7392" w:type="dxa"/>
            <w:tcBorders>
              <w:top w:val="nil"/>
              <w:left w:val="nil"/>
              <w:bottom w:val="single" w:sz="8" w:space="0" w:color="auto"/>
              <w:right w:val="single" w:sz="8" w:space="0" w:color="auto"/>
            </w:tcBorders>
            <w:shd w:val="clear" w:color="auto" w:fill="auto"/>
          </w:tcPr>
          <w:p w:rsidR="00A72949" w:rsidRPr="0068441A" w:rsidRDefault="00532AF9" w:rsidP="00A72949">
            <w:pPr>
              <w:spacing w:after="0" w:line="240" w:lineRule="auto"/>
              <w:rPr>
                <w:rFonts w:ascii="Calibri" w:hAnsi="Calibri"/>
                <w:color w:val="0000D4"/>
                <w:sz w:val="20"/>
                <w:szCs w:val="20"/>
                <w:u w:val="single"/>
              </w:rPr>
            </w:pPr>
            <w:hyperlink r:id="rId5" w:history="1">
              <w:r w:rsidR="000E41F6" w:rsidRPr="0068441A">
                <w:rPr>
                  <w:rFonts w:ascii="Calibri" w:hAnsi="Calibri"/>
                  <w:sz w:val="20"/>
                  <w:szCs w:val="20"/>
                </w:rPr>
                <w:t xml:space="preserve">U.S. Census Bureau, Current Population Survey, October 2009. </w:t>
              </w:r>
              <w:r w:rsidR="000E41F6" w:rsidRPr="0068441A">
                <w:rPr>
                  <w:rFonts w:ascii="Calibri" w:hAnsi="Calibri"/>
                  <w:color w:val="0000FF" w:themeColor="hyperlink"/>
                  <w:sz w:val="20"/>
                  <w:szCs w:val="20"/>
                  <w:u w:val="single"/>
                </w:rPr>
                <w:t xml:space="preserve">http://www.census.gov/population/www/socdemo/school/cps2009.html </w:t>
              </w:r>
            </w:hyperlink>
          </w:p>
        </w:tc>
      </w:tr>
      <w:tr w:rsidR="00A72949" w:rsidRPr="0068441A">
        <w:trPr>
          <w:trHeight w:val="280"/>
        </w:trPr>
        <w:tc>
          <w:tcPr>
            <w:tcW w:w="2963" w:type="dxa"/>
            <w:tcBorders>
              <w:top w:val="nil"/>
              <w:left w:val="single" w:sz="8" w:space="0" w:color="auto"/>
              <w:bottom w:val="single" w:sz="8" w:space="0" w:color="auto"/>
              <w:right w:val="single" w:sz="8" w:space="0" w:color="auto"/>
            </w:tcBorders>
            <w:shd w:val="clear" w:color="auto" w:fill="FFFFFF"/>
          </w:tcPr>
          <w:p w:rsidR="00A72949" w:rsidRPr="0068441A" w:rsidRDefault="000E41F6" w:rsidP="00A72949">
            <w:pPr>
              <w:spacing w:after="0" w:line="240" w:lineRule="auto"/>
              <w:rPr>
                <w:rFonts w:ascii="Calibri" w:hAnsi="Calibri"/>
                <w:sz w:val="20"/>
                <w:szCs w:val="20"/>
              </w:rPr>
            </w:pPr>
            <w:r w:rsidRPr="0068441A">
              <w:rPr>
                <w:rFonts w:ascii="Calibri" w:hAnsi="Calibri"/>
                <w:sz w:val="20"/>
                <w:szCs w:val="20"/>
              </w:rPr>
              <w:t>Number of Students – Age 3-21</w:t>
            </w:r>
          </w:p>
        </w:tc>
        <w:tc>
          <w:tcPr>
            <w:tcW w:w="1491" w:type="dxa"/>
            <w:tcBorders>
              <w:top w:val="nil"/>
              <w:left w:val="nil"/>
              <w:bottom w:val="single" w:sz="8" w:space="0" w:color="auto"/>
              <w:right w:val="single" w:sz="8" w:space="0" w:color="auto"/>
            </w:tcBorders>
            <w:shd w:val="clear" w:color="auto" w:fill="FFFFFF"/>
          </w:tcPr>
          <w:p w:rsidR="00A72949" w:rsidRPr="0068441A" w:rsidRDefault="000E41F6" w:rsidP="0068441A">
            <w:pPr>
              <w:spacing w:after="0" w:line="240" w:lineRule="auto"/>
              <w:rPr>
                <w:rFonts w:ascii="Calibri" w:hAnsi="Calibri"/>
                <w:b/>
                <w:bCs/>
                <w:sz w:val="20"/>
                <w:szCs w:val="20"/>
              </w:rPr>
            </w:pPr>
            <w:r w:rsidRPr="0068441A">
              <w:rPr>
                <w:rFonts w:ascii="Calibri" w:hAnsi="Calibri"/>
                <w:b/>
                <w:bCs/>
                <w:sz w:val="20"/>
                <w:szCs w:val="20"/>
              </w:rPr>
              <w:t>65,693,000</w:t>
            </w:r>
          </w:p>
        </w:tc>
        <w:tc>
          <w:tcPr>
            <w:tcW w:w="1238" w:type="dxa"/>
            <w:tcBorders>
              <w:top w:val="nil"/>
              <w:left w:val="nil"/>
              <w:bottom w:val="single" w:sz="8" w:space="0" w:color="auto"/>
              <w:right w:val="single" w:sz="8" w:space="0" w:color="auto"/>
            </w:tcBorders>
            <w:shd w:val="clear" w:color="auto" w:fill="FFFFFF"/>
          </w:tcPr>
          <w:p w:rsidR="00A72949" w:rsidRPr="0068441A" w:rsidRDefault="000E41F6" w:rsidP="0068441A">
            <w:pPr>
              <w:spacing w:after="0" w:line="240" w:lineRule="auto"/>
              <w:rPr>
                <w:rFonts w:ascii="Calibri" w:hAnsi="Calibri"/>
                <w:b/>
                <w:bCs/>
                <w:sz w:val="20"/>
                <w:szCs w:val="20"/>
              </w:rPr>
            </w:pPr>
            <w:r w:rsidRPr="0068441A">
              <w:rPr>
                <w:rFonts w:ascii="Calibri" w:hAnsi="Calibri"/>
                <w:b/>
                <w:bCs/>
                <w:sz w:val="20"/>
                <w:szCs w:val="20"/>
              </w:rPr>
              <w:t>100.00%</w:t>
            </w:r>
          </w:p>
        </w:tc>
        <w:tc>
          <w:tcPr>
            <w:tcW w:w="7392" w:type="dxa"/>
            <w:tcBorders>
              <w:top w:val="nil"/>
              <w:left w:val="nil"/>
              <w:bottom w:val="single" w:sz="8" w:space="0" w:color="auto"/>
              <w:right w:val="single" w:sz="8" w:space="0" w:color="auto"/>
            </w:tcBorders>
            <w:shd w:val="clear" w:color="auto" w:fill="auto"/>
          </w:tcPr>
          <w:p w:rsidR="00A72949" w:rsidRPr="0068441A" w:rsidRDefault="000E41F6" w:rsidP="00A72949">
            <w:pPr>
              <w:spacing w:after="0" w:line="240" w:lineRule="auto"/>
              <w:rPr>
                <w:rFonts w:ascii="Calibri" w:hAnsi="Calibri"/>
                <w:color w:val="000000"/>
                <w:sz w:val="20"/>
                <w:szCs w:val="20"/>
              </w:rPr>
            </w:pPr>
            <w:r w:rsidRPr="0068441A">
              <w:rPr>
                <w:rFonts w:ascii="Calibri" w:hAnsi="Calibri"/>
                <w:color w:val="000000"/>
                <w:sz w:val="20"/>
                <w:szCs w:val="20"/>
              </w:rPr>
              <w:t> </w:t>
            </w:r>
            <w:hyperlink r:id="rId6" w:history="1">
              <w:r w:rsidRPr="0068441A">
                <w:rPr>
                  <w:rFonts w:ascii="Calibri" w:hAnsi="Calibri"/>
                  <w:sz w:val="20"/>
                  <w:szCs w:val="20"/>
                </w:rPr>
                <w:t>U.S. Census Bureau, Current Population Survey, October 2009.</w:t>
              </w:r>
              <w:r w:rsidRPr="0068441A">
                <w:rPr>
                  <w:rFonts w:ascii="Calibri" w:hAnsi="Calibri"/>
                  <w:color w:val="0000FF" w:themeColor="hyperlink"/>
                  <w:sz w:val="20"/>
                  <w:szCs w:val="20"/>
                  <w:u w:val="single"/>
                </w:rPr>
                <w:t xml:space="preserve"> http://www.census.gov/population/www/socdemo/school/cps2009.html </w:t>
              </w:r>
            </w:hyperlink>
          </w:p>
        </w:tc>
      </w:tr>
      <w:tr w:rsidR="00A72949" w:rsidRPr="0068441A">
        <w:trPr>
          <w:trHeight w:val="564"/>
        </w:trPr>
        <w:tc>
          <w:tcPr>
            <w:tcW w:w="2963" w:type="dxa"/>
            <w:tcBorders>
              <w:top w:val="single" w:sz="8" w:space="0" w:color="auto"/>
              <w:left w:val="single" w:sz="8" w:space="0" w:color="auto"/>
              <w:bottom w:val="single" w:sz="8" w:space="0" w:color="000000"/>
              <w:right w:val="single" w:sz="8" w:space="0" w:color="auto"/>
            </w:tcBorders>
            <w:shd w:val="clear" w:color="auto" w:fill="C2D69B" w:themeFill="accent3" w:themeFillTint="99"/>
          </w:tcPr>
          <w:p w:rsidR="00A72949" w:rsidRPr="0068441A" w:rsidRDefault="000E41F6" w:rsidP="00A72949">
            <w:pPr>
              <w:spacing w:after="0" w:line="240" w:lineRule="auto"/>
              <w:rPr>
                <w:rFonts w:ascii="Calibri" w:hAnsi="Calibri"/>
                <w:sz w:val="20"/>
                <w:szCs w:val="20"/>
              </w:rPr>
            </w:pPr>
            <w:r w:rsidRPr="0068441A">
              <w:rPr>
                <w:rFonts w:ascii="Calibri" w:hAnsi="Calibri"/>
                <w:sz w:val="20"/>
                <w:szCs w:val="20"/>
              </w:rPr>
              <w:t>Students w/ Identified Disabilities</w:t>
            </w:r>
          </w:p>
        </w:tc>
        <w:tc>
          <w:tcPr>
            <w:tcW w:w="1491" w:type="dxa"/>
            <w:tcBorders>
              <w:top w:val="single" w:sz="8" w:space="0" w:color="auto"/>
              <w:left w:val="single" w:sz="8" w:space="0" w:color="auto"/>
              <w:bottom w:val="single" w:sz="8" w:space="0" w:color="000000"/>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6,613,989</w:t>
            </w:r>
          </w:p>
        </w:tc>
        <w:tc>
          <w:tcPr>
            <w:tcW w:w="1238" w:type="dxa"/>
            <w:tcBorders>
              <w:top w:val="single" w:sz="8" w:space="0" w:color="auto"/>
              <w:left w:val="single" w:sz="8" w:space="0" w:color="auto"/>
              <w:bottom w:val="single" w:sz="8" w:space="0" w:color="000000"/>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10.07%</w:t>
            </w:r>
          </w:p>
        </w:tc>
        <w:tc>
          <w:tcPr>
            <w:tcW w:w="7392" w:type="dxa"/>
            <w:tcBorders>
              <w:top w:val="nil"/>
              <w:left w:val="nil"/>
              <w:bottom w:val="single" w:sz="8" w:space="0" w:color="auto"/>
              <w:right w:val="single" w:sz="8" w:space="0" w:color="auto"/>
            </w:tcBorders>
            <w:shd w:val="clear" w:color="auto" w:fill="auto"/>
          </w:tcPr>
          <w:p w:rsidR="00A72949" w:rsidRPr="0068441A" w:rsidRDefault="000E41F6" w:rsidP="00A72949">
            <w:pPr>
              <w:spacing w:after="0" w:line="240" w:lineRule="auto"/>
              <w:rPr>
                <w:rFonts w:ascii="Calibri" w:hAnsi="Calibri"/>
                <w:color w:val="000000"/>
                <w:sz w:val="20"/>
                <w:szCs w:val="20"/>
              </w:rPr>
            </w:pPr>
            <w:r w:rsidRPr="0068441A">
              <w:rPr>
                <w:rFonts w:ascii="Calibri" w:hAnsi="Calibri"/>
                <w:color w:val="000000"/>
                <w:sz w:val="20"/>
                <w:szCs w:val="20"/>
              </w:rPr>
              <w:t xml:space="preserve">Retrieved 2/11/11 &amp; 2/18/11 from Data Accountability Center </w:t>
            </w:r>
          </w:p>
          <w:p w:rsidR="00A72949" w:rsidRPr="0068441A" w:rsidRDefault="00532AF9" w:rsidP="00A72949">
            <w:pPr>
              <w:spacing w:after="0" w:line="240" w:lineRule="auto"/>
              <w:rPr>
                <w:rFonts w:ascii="Calibri" w:hAnsi="Calibri"/>
                <w:color w:val="000000"/>
                <w:sz w:val="20"/>
                <w:szCs w:val="20"/>
              </w:rPr>
            </w:pPr>
            <w:hyperlink r:id="rId7" w:history="1">
              <w:r w:rsidR="000E41F6" w:rsidRPr="0068441A">
                <w:rPr>
                  <w:rFonts w:ascii="Calibri" w:hAnsi="Calibri"/>
                  <w:color w:val="0000FF" w:themeColor="hyperlink"/>
                  <w:sz w:val="20"/>
                  <w:szCs w:val="20"/>
                  <w:u w:val="single"/>
                </w:rPr>
                <w:t xml:space="preserve">DAC https://www.ideadata.org/DACAnalyticTool/Intro_2.asp </w:t>
              </w:r>
            </w:hyperlink>
          </w:p>
        </w:tc>
      </w:tr>
      <w:tr w:rsidR="00A72949" w:rsidRPr="0068441A">
        <w:trPr>
          <w:trHeight w:val="540"/>
        </w:trPr>
        <w:tc>
          <w:tcPr>
            <w:tcW w:w="2963" w:type="dxa"/>
            <w:tcBorders>
              <w:top w:val="nil"/>
              <w:left w:val="single" w:sz="8" w:space="0" w:color="auto"/>
              <w:bottom w:val="single" w:sz="8" w:space="0" w:color="auto"/>
              <w:right w:val="single" w:sz="8" w:space="0" w:color="auto"/>
            </w:tcBorders>
            <w:shd w:val="clear" w:color="auto" w:fill="C2D69B" w:themeFill="accent3" w:themeFillTint="99"/>
          </w:tcPr>
          <w:p w:rsidR="00A72949" w:rsidRPr="0068441A" w:rsidRDefault="000E41F6" w:rsidP="00A72949">
            <w:pPr>
              <w:spacing w:after="0" w:line="240" w:lineRule="auto"/>
              <w:rPr>
                <w:rFonts w:ascii="Calibri" w:hAnsi="Calibri"/>
                <w:sz w:val="20"/>
                <w:szCs w:val="20"/>
              </w:rPr>
            </w:pPr>
            <w:r w:rsidRPr="0068441A">
              <w:rPr>
                <w:rFonts w:ascii="Calibri" w:hAnsi="Calibri"/>
                <w:sz w:val="20"/>
                <w:szCs w:val="20"/>
              </w:rPr>
              <w:t>Students w/ IEPs and Service Plans</w:t>
            </w:r>
          </w:p>
        </w:tc>
        <w:tc>
          <w:tcPr>
            <w:tcW w:w="1491" w:type="dxa"/>
            <w:tcBorders>
              <w:top w:val="nil"/>
              <w:left w:val="nil"/>
              <w:bottom w:val="single" w:sz="8" w:space="0" w:color="auto"/>
              <w:right w:val="single" w:sz="8" w:space="0" w:color="auto"/>
            </w:tcBorders>
            <w:shd w:val="solid" w:color="FFFFFF" w:themeColor="background1" w:fill="E5B8B7" w:themeFill="accent2" w:themeFillTint="66"/>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6,367,014</w:t>
            </w:r>
          </w:p>
        </w:tc>
        <w:tc>
          <w:tcPr>
            <w:tcW w:w="1238" w:type="dxa"/>
            <w:tcBorders>
              <w:top w:val="nil"/>
              <w:left w:val="nil"/>
              <w:bottom w:val="single" w:sz="8" w:space="0" w:color="auto"/>
              <w:right w:val="single" w:sz="8" w:space="0" w:color="auto"/>
            </w:tcBorders>
            <w:shd w:val="solid" w:color="FFFFFF" w:themeColor="background1" w:fill="E5B8B7" w:themeFill="accent2" w:themeFillTint="66"/>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9.69%</w:t>
            </w:r>
          </w:p>
        </w:tc>
        <w:tc>
          <w:tcPr>
            <w:tcW w:w="7392" w:type="dxa"/>
            <w:tcBorders>
              <w:top w:val="nil"/>
              <w:left w:val="nil"/>
              <w:bottom w:val="single" w:sz="8" w:space="0" w:color="auto"/>
              <w:right w:val="single" w:sz="8" w:space="0" w:color="auto"/>
            </w:tcBorders>
            <w:shd w:val="clear" w:color="auto" w:fill="auto"/>
          </w:tcPr>
          <w:p w:rsidR="00A72949" w:rsidRPr="0068441A" w:rsidRDefault="00532AF9" w:rsidP="00A72949">
            <w:pPr>
              <w:spacing w:after="0" w:line="240" w:lineRule="auto"/>
              <w:rPr>
                <w:rFonts w:ascii="Calibri" w:hAnsi="Calibri"/>
                <w:color w:val="0000D4"/>
                <w:sz w:val="20"/>
                <w:szCs w:val="20"/>
                <w:u w:val="single"/>
              </w:rPr>
            </w:pPr>
            <w:hyperlink r:id="rId8" w:history="1">
              <w:r w:rsidR="000E41F6" w:rsidRPr="0068441A">
                <w:rPr>
                  <w:rFonts w:ascii="Calibri" w:hAnsi="Calibri"/>
                  <w:sz w:val="20"/>
                  <w:szCs w:val="20"/>
                </w:rPr>
                <w:t>Institute for Education Science National Center for Education Statistics</w:t>
              </w:r>
              <w:r w:rsidR="000E41F6" w:rsidRPr="0068441A">
                <w:rPr>
                  <w:rFonts w:ascii="Calibri" w:hAnsi="Calibri"/>
                  <w:sz w:val="20"/>
                  <w:szCs w:val="20"/>
                  <w:u w:val="single"/>
                </w:rPr>
                <w:t xml:space="preserve"> </w:t>
              </w:r>
              <w:r w:rsidR="000E41F6" w:rsidRPr="0068441A">
                <w:rPr>
                  <w:rFonts w:ascii="Calibri" w:hAnsi="Calibri"/>
                  <w:sz w:val="20"/>
                  <w:szCs w:val="20"/>
                </w:rPr>
                <w:t xml:space="preserve">Common Core of Data   </w:t>
              </w:r>
              <w:r w:rsidR="000E41F6" w:rsidRPr="0068441A">
                <w:rPr>
                  <w:rFonts w:ascii="Calibri" w:hAnsi="Calibri"/>
                  <w:color w:val="0000FF" w:themeColor="hyperlink"/>
                  <w:sz w:val="20"/>
                  <w:szCs w:val="20"/>
                  <w:u w:val="single"/>
                </w:rPr>
                <w:t xml:space="preserve">http://nces.ed.gov/ccd/ </w:t>
              </w:r>
            </w:hyperlink>
          </w:p>
        </w:tc>
      </w:tr>
      <w:tr w:rsidR="00A72949" w:rsidRPr="0068441A">
        <w:trPr>
          <w:trHeight w:val="280"/>
        </w:trPr>
        <w:tc>
          <w:tcPr>
            <w:tcW w:w="2963" w:type="dxa"/>
            <w:tcBorders>
              <w:top w:val="nil"/>
              <w:left w:val="single" w:sz="8" w:space="0" w:color="auto"/>
              <w:bottom w:val="single" w:sz="8" w:space="0" w:color="auto"/>
              <w:right w:val="single" w:sz="8" w:space="0" w:color="auto"/>
            </w:tcBorders>
            <w:shd w:val="clear" w:color="auto" w:fill="C2D69B" w:themeFill="accent3" w:themeFillTint="99"/>
          </w:tcPr>
          <w:p w:rsidR="00A72949" w:rsidRPr="0068441A" w:rsidRDefault="000E41F6" w:rsidP="00A72949">
            <w:pPr>
              <w:spacing w:after="0" w:line="240" w:lineRule="auto"/>
              <w:rPr>
                <w:rFonts w:ascii="Calibri" w:hAnsi="Calibri"/>
                <w:sz w:val="20"/>
                <w:szCs w:val="20"/>
              </w:rPr>
            </w:pPr>
            <w:r w:rsidRPr="0068441A">
              <w:rPr>
                <w:rFonts w:ascii="Calibri" w:hAnsi="Calibri"/>
                <w:sz w:val="20"/>
                <w:szCs w:val="20"/>
              </w:rPr>
              <w:t>Students w/ Section 504 plans</w:t>
            </w:r>
          </w:p>
        </w:tc>
        <w:tc>
          <w:tcPr>
            <w:tcW w:w="1491" w:type="dxa"/>
            <w:tcBorders>
              <w:top w:val="nil"/>
              <w:left w:val="nil"/>
              <w:bottom w:val="single" w:sz="8" w:space="0" w:color="auto"/>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444,035</w:t>
            </w:r>
          </w:p>
        </w:tc>
        <w:tc>
          <w:tcPr>
            <w:tcW w:w="1238" w:type="dxa"/>
            <w:tcBorders>
              <w:top w:val="nil"/>
              <w:left w:val="nil"/>
              <w:bottom w:val="single" w:sz="8" w:space="0" w:color="auto"/>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0.68%</w:t>
            </w:r>
          </w:p>
        </w:tc>
        <w:tc>
          <w:tcPr>
            <w:tcW w:w="7392" w:type="dxa"/>
            <w:tcBorders>
              <w:top w:val="nil"/>
              <w:left w:val="nil"/>
              <w:bottom w:val="single" w:sz="8" w:space="0" w:color="auto"/>
              <w:right w:val="single" w:sz="8" w:space="0" w:color="auto"/>
            </w:tcBorders>
            <w:shd w:val="clear" w:color="auto" w:fill="auto"/>
          </w:tcPr>
          <w:p w:rsidR="00A72949" w:rsidRPr="0068441A" w:rsidRDefault="00532AF9" w:rsidP="00A72949">
            <w:pPr>
              <w:spacing w:after="0" w:line="240" w:lineRule="auto"/>
              <w:rPr>
                <w:rFonts w:ascii="Calibri" w:hAnsi="Calibri"/>
                <w:color w:val="0000D4"/>
                <w:sz w:val="20"/>
                <w:szCs w:val="20"/>
                <w:u w:val="single"/>
              </w:rPr>
            </w:pPr>
            <w:hyperlink r:id="rId9" w:history="1">
              <w:r w:rsidR="000E41F6" w:rsidRPr="0068441A">
                <w:rPr>
                  <w:rFonts w:ascii="Calibri" w:hAnsi="Calibri"/>
                  <w:sz w:val="20"/>
                  <w:szCs w:val="20"/>
                </w:rPr>
                <w:t xml:space="preserve">Civil Rights Data Collection </w:t>
              </w:r>
              <w:r w:rsidR="000E41F6" w:rsidRPr="0068441A">
                <w:rPr>
                  <w:rFonts w:ascii="Calibri" w:hAnsi="Calibri"/>
                  <w:color w:val="0000FF" w:themeColor="hyperlink"/>
                  <w:sz w:val="20"/>
                  <w:szCs w:val="20"/>
                  <w:u w:val="single"/>
                </w:rPr>
                <w:t xml:space="preserve">http://ocrdata.ed.gov/Default.aspx </w:t>
              </w:r>
            </w:hyperlink>
          </w:p>
        </w:tc>
      </w:tr>
      <w:tr w:rsidR="00A72949" w:rsidRPr="0068441A">
        <w:trPr>
          <w:trHeight w:val="280"/>
        </w:trPr>
        <w:tc>
          <w:tcPr>
            <w:tcW w:w="2963" w:type="dxa"/>
            <w:tcBorders>
              <w:top w:val="nil"/>
              <w:left w:val="single" w:sz="8" w:space="0" w:color="auto"/>
              <w:bottom w:val="single" w:sz="8" w:space="0" w:color="auto"/>
              <w:right w:val="single" w:sz="8" w:space="0" w:color="auto"/>
            </w:tcBorders>
            <w:shd w:val="clear" w:color="auto" w:fill="C2D69B" w:themeFill="accent3" w:themeFillTint="99"/>
          </w:tcPr>
          <w:p w:rsidR="00A72949" w:rsidRPr="0068441A" w:rsidRDefault="000E41F6" w:rsidP="00A72949">
            <w:pPr>
              <w:spacing w:after="0" w:line="240" w:lineRule="auto"/>
              <w:rPr>
                <w:rFonts w:ascii="Calibri" w:hAnsi="Calibri"/>
                <w:sz w:val="20"/>
                <w:szCs w:val="20"/>
              </w:rPr>
            </w:pPr>
            <w:r w:rsidRPr="0068441A">
              <w:rPr>
                <w:rFonts w:ascii="Calibri" w:hAnsi="Calibri"/>
                <w:sz w:val="20"/>
                <w:szCs w:val="20"/>
              </w:rPr>
              <w:t>Students w/ Learning Disabilities</w:t>
            </w:r>
          </w:p>
        </w:tc>
        <w:tc>
          <w:tcPr>
            <w:tcW w:w="1491" w:type="dxa"/>
            <w:tcBorders>
              <w:top w:val="nil"/>
              <w:left w:val="nil"/>
              <w:bottom w:val="single" w:sz="8" w:space="0" w:color="auto"/>
              <w:right w:val="single" w:sz="8" w:space="0" w:color="auto"/>
            </w:tcBorders>
            <w:shd w:val="clear" w:color="auto" w:fill="FFFFFF"/>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2,500,623</w:t>
            </w:r>
          </w:p>
        </w:tc>
        <w:tc>
          <w:tcPr>
            <w:tcW w:w="1238" w:type="dxa"/>
            <w:tcBorders>
              <w:top w:val="nil"/>
              <w:left w:val="nil"/>
              <w:bottom w:val="single" w:sz="8" w:space="0" w:color="auto"/>
              <w:right w:val="single" w:sz="8" w:space="0" w:color="auto"/>
            </w:tcBorders>
            <w:shd w:val="clear" w:color="auto" w:fill="FFFFFF"/>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3.81%</w:t>
            </w:r>
          </w:p>
        </w:tc>
        <w:tc>
          <w:tcPr>
            <w:tcW w:w="7392" w:type="dxa"/>
            <w:tcBorders>
              <w:top w:val="nil"/>
              <w:left w:val="nil"/>
              <w:bottom w:val="single" w:sz="8" w:space="0" w:color="auto"/>
              <w:right w:val="single" w:sz="8" w:space="0" w:color="auto"/>
            </w:tcBorders>
            <w:shd w:val="clear" w:color="auto" w:fill="auto"/>
          </w:tcPr>
          <w:p w:rsidR="00A72949" w:rsidRPr="0068441A" w:rsidRDefault="00532AF9" w:rsidP="00A72949">
            <w:pPr>
              <w:spacing w:after="0" w:line="240" w:lineRule="auto"/>
              <w:rPr>
                <w:rFonts w:ascii="Calibri" w:hAnsi="Calibri"/>
                <w:color w:val="0000D4"/>
                <w:sz w:val="20"/>
                <w:szCs w:val="20"/>
                <w:u w:val="single"/>
              </w:rPr>
            </w:pPr>
            <w:hyperlink r:id="rId10" w:history="1">
              <w:r w:rsidR="000E41F6" w:rsidRPr="0068441A">
                <w:rPr>
                  <w:rFonts w:ascii="Calibri" w:hAnsi="Calibri"/>
                  <w:sz w:val="20"/>
                  <w:szCs w:val="20"/>
                </w:rPr>
                <w:t xml:space="preserve">DAC </w:t>
              </w:r>
              <w:r w:rsidR="000E41F6" w:rsidRPr="0068441A">
                <w:rPr>
                  <w:rFonts w:ascii="Calibri" w:hAnsi="Calibri"/>
                  <w:color w:val="0000FF" w:themeColor="hyperlink"/>
                  <w:sz w:val="20"/>
                  <w:szCs w:val="20"/>
                  <w:u w:val="single"/>
                </w:rPr>
                <w:t xml:space="preserve">https://www.ideadata.org/DACAnalyticTool/Intro_2.asp </w:t>
              </w:r>
            </w:hyperlink>
          </w:p>
        </w:tc>
      </w:tr>
      <w:tr w:rsidR="00A72949" w:rsidRPr="0068441A">
        <w:trPr>
          <w:trHeight w:val="500"/>
        </w:trPr>
        <w:tc>
          <w:tcPr>
            <w:tcW w:w="2963" w:type="dxa"/>
            <w:tcBorders>
              <w:top w:val="nil"/>
              <w:left w:val="single" w:sz="8" w:space="0" w:color="auto"/>
              <w:bottom w:val="single" w:sz="8" w:space="0" w:color="auto"/>
              <w:right w:val="single" w:sz="8" w:space="0" w:color="auto"/>
            </w:tcBorders>
            <w:shd w:val="clear" w:color="auto" w:fill="E5B8B7" w:themeFill="accent2" w:themeFillTint="66"/>
          </w:tcPr>
          <w:p w:rsidR="00A72949" w:rsidRPr="0068441A" w:rsidRDefault="000E41F6" w:rsidP="00A72949">
            <w:pPr>
              <w:spacing w:after="0" w:line="240" w:lineRule="auto"/>
              <w:rPr>
                <w:rFonts w:ascii="Calibri" w:hAnsi="Calibri"/>
                <w:b/>
                <w:bCs/>
                <w:sz w:val="20"/>
                <w:szCs w:val="20"/>
              </w:rPr>
            </w:pPr>
            <w:r w:rsidRPr="0068441A">
              <w:rPr>
                <w:rFonts w:ascii="Calibri" w:hAnsi="Calibri"/>
                <w:b/>
                <w:bCs/>
                <w:sz w:val="20"/>
                <w:szCs w:val="20"/>
              </w:rPr>
              <w:t xml:space="preserve">     Reading related LD</w:t>
            </w:r>
          </w:p>
        </w:tc>
        <w:tc>
          <w:tcPr>
            <w:tcW w:w="1491" w:type="dxa"/>
            <w:tcBorders>
              <w:top w:val="nil"/>
              <w:left w:val="nil"/>
              <w:bottom w:val="single" w:sz="8" w:space="0" w:color="auto"/>
              <w:right w:val="single" w:sz="8" w:space="0" w:color="auto"/>
            </w:tcBorders>
            <w:shd w:val="clear" w:color="auto" w:fill="E5B8B7" w:themeFill="accent2" w:themeFillTint="66"/>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2,000,498</w:t>
            </w:r>
          </w:p>
        </w:tc>
        <w:tc>
          <w:tcPr>
            <w:tcW w:w="1238" w:type="dxa"/>
            <w:tcBorders>
              <w:top w:val="nil"/>
              <w:left w:val="nil"/>
              <w:bottom w:val="single" w:sz="8" w:space="0" w:color="auto"/>
              <w:right w:val="single" w:sz="8" w:space="0" w:color="auto"/>
            </w:tcBorders>
            <w:shd w:val="clear" w:color="auto" w:fill="E5B8B7" w:themeFill="accent2" w:themeFillTint="66"/>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3.05%</w:t>
            </w:r>
          </w:p>
        </w:tc>
        <w:tc>
          <w:tcPr>
            <w:tcW w:w="7392" w:type="dxa"/>
            <w:tcBorders>
              <w:top w:val="nil"/>
              <w:left w:val="nil"/>
              <w:bottom w:val="single" w:sz="8" w:space="0" w:color="auto"/>
              <w:right w:val="single" w:sz="8" w:space="0" w:color="auto"/>
            </w:tcBorders>
            <w:shd w:val="clear" w:color="auto" w:fill="auto"/>
          </w:tcPr>
          <w:p w:rsidR="00A72949" w:rsidRPr="0068441A" w:rsidRDefault="000E41F6" w:rsidP="000E41F6">
            <w:pPr>
              <w:spacing w:after="0" w:line="240" w:lineRule="auto"/>
              <w:rPr>
                <w:rFonts w:ascii="Calibri" w:hAnsi="Calibri"/>
                <w:color w:val="000000"/>
                <w:sz w:val="20"/>
                <w:szCs w:val="20"/>
              </w:rPr>
            </w:pPr>
            <w:r>
              <w:rPr>
                <w:rFonts w:ascii="Calibri" w:hAnsi="Calibri"/>
                <w:color w:val="000000"/>
                <w:sz w:val="20"/>
                <w:szCs w:val="20"/>
              </w:rPr>
              <w:t>NCLD</w:t>
            </w:r>
            <w:r w:rsidRPr="0068441A">
              <w:rPr>
                <w:rFonts w:ascii="Calibri" w:hAnsi="Calibri"/>
                <w:color w:val="000000"/>
                <w:sz w:val="20"/>
                <w:szCs w:val="20"/>
              </w:rPr>
              <w:t xml:space="preserve">, </w:t>
            </w:r>
            <w:r>
              <w:rPr>
                <w:rFonts w:ascii="Calibri" w:hAnsi="Calibri"/>
                <w:color w:val="000000"/>
                <w:sz w:val="20"/>
                <w:szCs w:val="20"/>
              </w:rPr>
              <w:t>informal</w:t>
            </w:r>
            <w:r w:rsidRPr="0068441A">
              <w:rPr>
                <w:rFonts w:ascii="Calibri" w:hAnsi="Calibri"/>
                <w:color w:val="000000"/>
                <w:sz w:val="20"/>
                <w:szCs w:val="20"/>
              </w:rPr>
              <w:t xml:space="preserve"> communication, March 14, 2011; </w:t>
            </w:r>
            <w:r>
              <w:rPr>
                <w:rFonts w:ascii="Calibri" w:hAnsi="Calibri"/>
                <w:color w:val="000000"/>
                <w:sz w:val="20"/>
                <w:szCs w:val="20"/>
              </w:rPr>
              <w:t>NCEO, informal</w:t>
            </w:r>
            <w:r w:rsidRPr="0068441A">
              <w:rPr>
                <w:rFonts w:ascii="Calibri" w:hAnsi="Calibri"/>
                <w:color w:val="000000"/>
                <w:sz w:val="20"/>
                <w:szCs w:val="20"/>
              </w:rPr>
              <w:t xml:space="preserve"> communication, March 30, 2011</w:t>
            </w:r>
          </w:p>
        </w:tc>
      </w:tr>
      <w:tr w:rsidR="00A72949" w:rsidRPr="0068441A">
        <w:trPr>
          <w:trHeight w:val="800"/>
        </w:trPr>
        <w:tc>
          <w:tcPr>
            <w:tcW w:w="2963" w:type="dxa"/>
            <w:tcBorders>
              <w:top w:val="nil"/>
              <w:left w:val="single" w:sz="8" w:space="0" w:color="auto"/>
              <w:bottom w:val="single" w:sz="8" w:space="0" w:color="auto"/>
              <w:right w:val="single" w:sz="8" w:space="0" w:color="auto"/>
            </w:tcBorders>
            <w:shd w:val="clear" w:color="auto" w:fill="E5B8B7" w:themeFill="accent2" w:themeFillTint="66"/>
          </w:tcPr>
          <w:p w:rsidR="00A72949" w:rsidRPr="0068441A" w:rsidRDefault="000E41F6" w:rsidP="00A72949">
            <w:pPr>
              <w:spacing w:after="0" w:line="240" w:lineRule="auto"/>
              <w:rPr>
                <w:rFonts w:ascii="Calibri" w:hAnsi="Calibri"/>
                <w:b/>
                <w:bCs/>
                <w:sz w:val="20"/>
                <w:szCs w:val="20"/>
              </w:rPr>
            </w:pPr>
            <w:r w:rsidRPr="0068441A">
              <w:rPr>
                <w:rFonts w:ascii="Calibri" w:hAnsi="Calibri"/>
                <w:b/>
                <w:bCs/>
                <w:sz w:val="20"/>
                <w:szCs w:val="20"/>
              </w:rPr>
              <w:t>Students w/ Visual Impairments</w:t>
            </w:r>
            <w:r>
              <w:rPr>
                <w:rFonts w:ascii="Calibri" w:hAnsi="Calibri"/>
                <w:b/>
                <w:bCs/>
                <w:sz w:val="20"/>
                <w:szCs w:val="20"/>
              </w:rPr>
              <w:t xml:space="preserve"> (including MD with VI)</w:t>
            </w:r>
          </w:p>
        </w:tc>
        <w:tc>
          <w:tcPr>
            <w:tcW w:w="1491" w:type="dxa"/>
            <w:tcBorders>
              <w:top w:val="nil"/>
              <w:left w:val="nil"/>
              <w:bottom w:val="single" w:sz="8" w:space="0" w:color="auto"/>
              <w:right w:val="single" w:sz="8" w:space="0" w:color="auto"/>
            </w:tcBorders>
            <w:shd w:val="clear" w:color="auto" w:fill="E5B8B7" w:themeFill="accent2" w:themeFillTint="66"/>
          </w:tcPr>
          <w:p w:rsidR="00A72949" w:rsidRPr="0068441A" w:rsidRDefault="000E41F6" w:rsidP="0068441A">
            <w:pPr>
              <w:spacing w:after="0" w:line="240" w:lineRule="auto"/>
              <w:rPr>
                <w:rFonts w:ascii="Calibri" w:hAnsi="Calibri"/>
                <w:sz w:val="20"/>
                <w:szCs w:val="20"/>
              </w:rPr>
            </w:pPr>
            <w:r>
              <w:rPr>
                <w:rFonts w:ascii="Calibri" w:hAnsi="Calibri"/>
                <w:sz w:val="20"/>
                <w:szCs w:val="20"/>
              </w:rPr>
              <w:t>80,978</w:t>
            </w:r>
            <w:r w:rsidRPr="0068441A">
              <w:rPr>
                <w:rFonts w:ascii="Calibri" w:hAnsi="Calibri"/>
                <w:sz w:val="20"/>
                <w:szCs w:val="20"/>
              </w:rPr>
              <w:t>-</w:t>
            </w:r>
            <w:r>
              <w:rPr>
                <w:rFonts w:ascii="Calibri" w:hAnsi="Calibri"/>
                <w:sz w:val="20"/>
                <w:szCs w:val="20"/>
              </w:rPr>
              <w:t>122,956</w:t>
            </w:r>
          </w:p>
        </w:tc>
        <w:tc>
          <w:tcPr>
            <w:tcW w:w="1238" w:type="dxa"/>
            <w:tcBorders>
              <w:top w:val="nil"/>
              <w:left w:val="nil"/>
              <w:bottom w:val="single" w:sz="8" w:space="0" w:color="auto"/>
              <w:right w:val="single" w:sz="8" w:space="0" w:color="auto"/>
            </w:tcBorders>
            <w:shd w:val="clear" w:color="auto" w:fill="E5B8B7" w:themeFill="accent2" w:themeFillTint="66"/>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 </w:t>
            </w:r>
            <w:r>
              <w:rPr>
                <w:rFonts w:ascii="Calibri" w:hAnsi="Calibri"/>
                <w:sz w:val="20"/>
                <w:szCs w:val="20"/>
              </w:rPr>
              <w:t>.12%-.19%</w:t>
            </w:r>
          </w:p>
        </w:tc>
        <w:tc>
          <w:tcPr>
            <w:tcW w:w="7392" w:type="dxa"/>
            <w:tcBorders>
              <w:top w:val="nil"/>
              <w:left w:val="nil"/>
              <w:bottom w:val="single" w:sz="8" w:space="0" w:color="auto"/>
              <w:right w:val="single" w:sz="8" w:space="0" w:color="auto"/>
            </w:tcBorders>
            <w:shd w:val="clear" w:color="auto" w:fill="auto"/>
          </w:tcPr>
          <w:p w:rsidR="00A72949" w:rsidRPr="00485C9B" w:rsidRDefault="000E41F6" w:rsidP="00A72949">
            <w:pPr>
              <w:spacing w:after="0" w:line="240" w:lineRule="auto"/>
              <w:rPr>
                <w:rFonts w:ascii="Calibri" w:hAnsi="Calibri"/>
                <w:sz w:val="20"/>
                <w:szCs w:val="20"/>
              </w:rPr>
            </w:pPr>
            <w:r w:rsidRPr="0068441A">
              <w:rPr>
                <w:rFonts w:ascii="Calibri" w:hAnsi="Calibri"/>
                <w:sz w:val="20"/>
                <w:szCs w:val="20"/>
              </w:rPr>
              <w:t xml:space="preserve">DAC </w:t>
            </w:r>
            <w:r w:rsidRPr="0068441A">
              <w:rPr>
                <w:rFonts w:ascii="Calibri" w:hAnsi="Calibri"/>
                <w:color w:val="0000FF" w:themeColor="hyperlink"/>
                <w:sz w:val="20"/>
                <w:szCs w:val="20"/>
                <w:u w:val="single"/>
              </w:rPr>
              <w:t>https://www.ideadata.org/DACAnalyticTool/Intro_2.asp</w:t>
            </w:r>
            <w:r w:rsidRPr="0068441A">
              <w:rPr>
                <w:rFonts w:ascii="Calibri" w:hAnsi="Calibri"/>
                <w:sz w:val="20"/>
                <w:szCs w:val="20"/>
              </w:rPr>
              <w:t xml:space="preserve">; Kirchner &amp; </w:t>
            </w:r>
            <w:proofErr w:type="spellStart"/>
            <w:r w:rsidRPr="0068441A">
              <w:rPr>
                <w:rFonts w:ascii="Calibri" w:hAnsi="Calibri"/>
                <w:sz w:val="20"/>
                <w:szCs w:val="20"/>
              </w:rPr>
              <w:t>Diament</w:t>
            </w:r>
            <w:proofErr w:type="spellEnd"/>
            <w:r w:rsidRPr="0068441A">
              <w:rPr>
                <w:rFonts w:ascii="Calibri" w:hAnsi="Calibri"/>
                <w:sz w:val="20"/>
                <w:szCs w:val="20"/>
              </w:rPr>
              <w:t xml:space="preserve"> (1999); J. Erin (personal communication, March 18, 2011).  Note that Kirchner &amp; </w:t>
            </w:r>
            <w:proofErr w:type="spellStart"/>
            <w:r w:rsidRPr="0068441A">
              <w:rPr>
                <w:rFonts w:ascii="Calibri" w:hAnsi="Calibri"/>
                <w:sz w:val="20"/>
                <w:szCs w:val="20"/>
              </w:rPr>
              <w:t>Diament</w:t>
            </w:r>
            <w:proofErr w:type="spellEnd"/>
            <w:r w:rsidRPr="0068441A">
              <w:rPr>
                <w:rFonts w:ascii="Calibri" w:hAnsi="Calibri"/>
                <w:sz w:val="20"/>
                <w:szCs w:val="20"/>
              </w:rPr>
              <w:t xml:space="preserve"> estimates are birth- 2</w:t>
            </w:r>
            <w:r>
              <w:rPr>
                <w:rFonts w:ascii="Calibri" w:hAnsi="Calibri"/>
                <w:sz w:val="20"/>
                <w:szCs w:val="20"/>
              </w:rPr>
              <w:t xml:space="preserve">1.  Note that visually impaired students from IDEA multiple disability </w:t>
            </w:r>
            <w:proofErr w:type="gramStart"/>
            <w:r>
              <w:rPr>
                <w:rFonts w:ascii="Calibri" w:hAnsi="Calibri"/>
                <w:sz w:val="20"/>
                <w:szCs w:val="20"/>
              </w:rPr>
              <w:t>category</w:t>
            </w:r>
            <w:proofErr w:type="gramEnd"/>
            <w:r>
              <w:rPr>
                <w:rFonts w:ascii="Calibri" w:hAnsi="Calibri"/>
                <w:sz w:val="20"/>
                <w:szCs w:val="20"/>
              </w:rPr>
              <w:t xml:space="preserve"> are included in this estimate. </w:t>
            </w:r>
            <w:r w:rsidRPr="00485C9B">
              <w:rPr>
                <w:rFonts w:ascii="Calibri" w:hAnsi="Calibri"/>
                <w:sz w:val="20"/>
                <w:szCs w:val="20"/>
              </w:rPr>
              <w:t xml:space="preserve">Kirchner &amp; </w:t>
            </w:r>
            <w:proofErr w:type="spellStart"/>
            <w:r w:rsidRPr="00485C9B">
              <w:rPr>
                <w:rFonts w:ascii="Calibri" w:hAnsi="Calibri"/>
                <w:sz w:val="20"/>
                <w:szCs w:val="20"/>
              </w:rPr>
              <w:t>Diament</w:t>
            </w:r>
            <w:proofErr w:type="spellEnd"/>
            <w:r w:rsidRPr="00485C9B">
              <w:rPr>
                <w:rFonts w:ascii="Calibri" w:hAnsi="Calibri"/>
                <w:sz w:val="20"/>
                <w:szCs w:val="20"/>
              </w:rPr>
              <w:t xml:space="preserve"> (1999); J. Erin (personal communication, March 18, 2011)</w:t>
            </w:r>
          </w:p>
        </w:tc>
      </w:tr>
      <w:tr w:rsidR="0068441A" w:rsidRPr="0068441A">
        <w:trPr>
          <w:trHeight w:val="1456"/>
        </w:trPr>
        <w:tc>
          <w:tcPr>
            <w:tcW w:w="2963" w:type="dxa"/>
            <w:tcBorders>
              <w:top w:val="single" w:sz="8" w:space="0" w:color="auto"/>
              <w:left w:val="single" w:sz="8" w:space="0" w:color="auto"/>
              <w:bottom w:val="single" w:sz="8" w:space="0" w:color="000000"/>
              <w:right w:val="single" w:sz="8" w:space="0" w:color="auto"/>
            </w:tcBorders>
            <w:shd w:val="clear" w:color="auto" w:fill="C2D69B" w:themeFill="accent3" w:themeFillTint="99"/>
          </w:tcPr>
          <w:p w:rsidR="0068441A" w:rsidRPr="0068441A" w:rsidRDefault="000E41F6" w:rsidP="00EF727B">
            <w:pPr>
              <w:spacing w:after="0" w:line="240" w:lineRule="auto"/>
              <w:ind w:left="720"/>
              <w:rPr>
                <w:rFonts w:ascii="Calibri" w:hAnsi="Calibri"/>
                <w:sz w:val="20"/>
                <w:szCs w:val="20"/>
              </w:rPr>
            </w:pPr>
            <w:r w:rsidRPr="0068441A">
              <w:rPr>
                <w:rFonts w:ascii="Calibri" w:hAnsi="Calibri"/>
                <w:sz w:val="20"/>
                <w:szCs w:val="20"/>
              </w:rPr>
              <w:t>Blind</w:t>
            </w:r>
            <w:r>
              <w:rPr>
                <w:rFonts w:ascii="Calibri" w:hAnsi="Calibri"/>
                <w:sz w:val="20"/>
                <w:szCs w:val="20"/>
              </w:rPr>
              <w:t xml:space="preserve"> </w:t>
            </w:r>
          </w:p>
        </w:tc>
        <w:tc>
          <w:tcPr>
            <w:tcW w:w="1491" w:type="dxa"/>
            <w:tcBorders>
              <w:top w:val="single" w:sz="8" w:space="0" w:color="auto"/>
              <w:left w:val="single" w:sz="8" w:space="0" w:color="auto"/>
              <w:bottom w:val="single" w:sz="8" w:space="0" w:color="000000"/>
              <w:right w:val="single" w:sz="8" w:space="0" w:color="auto"/>
            </w:tcBorders>
            <w:shd w:val="clear" w:color="auto" w:fill="auto"/>
          </w:tcPr>
          <w:p w:rsidR="0068441A" w:rsidRPr="0068441A" w:rsidRDefault="000E41F6" w:rsidP="0068441A">
            <w:pPr>
              <w:spacing w:after="0" w:line="240" w:lineRule="auto"/>
              <w:rPr>
                <w:rFonts w:ascii="Calibri" w:hAnsi="Calibri"/>
                <w:sz w:val="20"/>
                <w:szCs w:val="20"/>
              </w:rPr>
            </w:pPr>
            <w:r w:rsidRPr="0068441A">
              <w:rPr>
                <w:rFonts w:ascii="Calibri" w:hAnsi="Calibri"/>
                <w:sz w:val="20"/>
                <w:szCs w:val="20"/>
              </w:rPr>
              <w:t>4,688-6,525</w:t>
            </w:r>
          </w:p>
        </w:tc>
        <w:tc>
          <w:tcPr>
            <w:tcW w:w="1238" w:type="dxa"/>
            <w:tcBorders>
              <w:top w:val="single" w:sz="8" w:space="0" w:color="auto"/>
              <w:left w:val="single" w:sz="8" w:space="0" w:color="auto"/>
              <w:bottom w:val="single" w:sz="8" w:space="0" w:color="000000"/>
              <w:right w:val="single" w:sz="8" w:space="0" w:color="auto"/>
            </w:tcBorders>
            <w:shd w:val="clear" w:color="auto" w:fill="auto"/>
          </w:tcPr>
          <w:p w:rsidR="0068441A" w:rsidRPr="0068441A" w:rsidRDefault="000E41F6" w:rsidP="0068441A">
            <w:pPr>
              <w:spacing w:after="0" w:line="240" w:lineRule="auto"/>
              <w:rPr>
                <w:rFonts w:ascii="Calibri" w:hAnsi="Calibri"/>
                <w:sz w:val="20"/>
                <w:szCs w:val="20"/>
              </w:rPr>
            </w:pPr>
            <w:r>
              <w:rPr>
                <w:rFonts w:ascii="Calibri" w:hAnsi="Calibri"/>
                <w:sz w:val="20"/>
                <w:szCs w:val="20"/>
              </w:rPr>
              <w:t>.01%</w:t>
            </w:r>
          </w:p>
        </w:tc>
        <w:tc>
          <w:tcPr>
            <w:tcW w:w="7392" w:type="dxa"/>
            <w:tcBorders>
              <w:top w:val="nil"/>
              <w:left w:val="nil"/>
              <w:bottom w:val="single" w:sz="8" w:space="0" w:color="auto"/>
              <w:right w:val="single" w:sz="8" w:space="0" w:color="auto"/>
            </w:tcBorders>
            <w:shd w:val="clear" w:color="auto" w:fill="auto"/>
          </w:tcPr>
          <w:p w:rsidR="0068441A" w:rsidRPr="0068441A" w:rsidRDefault="00532AF9" w:rsidP="00A72949">
            <w:pPr>
              <w:spacing w:after="0" w:line="240" w:lineRule="auto"/>
              <w:rPr>
                <w:rFonts w:ascii="Calibri" w:hAnsi="Calibri"/>
                <w:color w:val="0000D4"/>
                <w:sz w:val="20"/>
                <w:szCs w:val="20"/>
                <w:u w:val="single"/>
              </w:rPr>
            </w:pPr>
            <w:hyperlink r:id="rId11" w:history="1">
              <w:r w:rsidR="000E41F6" w:rsidRPr="0068441A">
                <w:rPr>
                  <w:rFonts w:ascii="Calibri" w:hAnsi="Calibri"/>
                  <w:sz w:val="20"/>
                  <w:szCs w:val="20"/>
                </w:rPr>
                <w:t xml:space="preserve">DAC </w:t>
              </w:r>
              <w:r w:rsidR="000E41F6" w:rsidRPr="0068441A">
                <w:rPr>
                  <w:rFonts w:ascii="Calibri" w:hAnsi="Calibri"/>
                  <w:color w:val="0000FF" w:themeColor="hyperlink"/>
                  <w:sz w:val="20"/>
                  <w:szCs w:val="20"/>
                  <w:u w:val="single"/>
                </w:rPr>
                <w:t>https://www.ideadata.org/DACAnalyticTool/Intro_2.asp and</w:t>
              </w:r>
            </w:hyperlink>
          </w:p>
          <w:p w:rsidR="0068441A" w:rsidRPr="0068441A" w:rsidRDefault="000E41F6" w:rsidP="00A72949">
            <w:pPr>
              <w:spacing w:after="0" w:line="240" w:lineRule="auto"/>
              <w:rPr>
                <w:rFonts w:ascii="Calibri" w:hAnsi="Calibri"/>
                <w:color w:val="000000"/>
                <w:sz w:val="20"/>
                <w:szCs w:val="20"/>
              </w:rPr>
            </w:pPr>
            <w:r w:rsidRPr="0068441A">
              <w:rPr>
                <w:rFonts w:ascii="Calibri" w:hAnsi="Calibri"/>
                <w:color w:val="000000"/>
                <w:sz w:val="20"/>
                <w:szCs w:val="20"/>
              </w:rPr>
              <w:t xml:space="preserve">From the Special Education Elementary Longitudinal Study.  These rates are based on a sample of 8- to 15-year-old students receiving special education services under the IDEA category “visual impairment including blindness </w:t>
            </w:r>
            <w:hyperlink r:id="rId12" w:history="1">
              <w:r w:rsidRPr="0068441A">
                <w:rPr>
                  <w:rStyle w:val="Hyperlink"/>
                  <w:rFonts w:ascii="Calibri" w:hAnsi="Calibri"/>
                  <w:color w:val="auto"/>
                  <w:sz w:val="20"/>
                  <w:szCs w:val="20"/>
                  <w:u w:val="none"/>
                </w:rPr>
                <w:t xml:space="preserve">Retrieved from: </w:t>
              </w:r>
              <w:r w:rsidRPr="0068441A">
                <w:rPr>
                  <w:rStyle w:val="Hyperlink"/>
                  <w:rFonts w:ascii="Calibri" w:hAnsi="Calibri"/>
                  <w:sz w:val="20"/>
                  <w:szCs w:val="20"/>
                </w:rPr>
                <w:t>http://www.seels.net/designdocs/SEELS_VI_report_final.pdf</w:t>
              </w:r>
              <w:r w:rsidRPr="0068441A">
                <w:rPr>
                  <w:rStyle w:val="Hyperlink"/>
                  <w:rFonts w:ascii="Calibri" w:hAnsi="Calibri"/>
                  <w:color w:val="auto"/>
                  <w:sz w:val="20"/>
                  <w:szCs w:val="20"/>
                  <w:u w:val="none"/>
                </w:rPr>
                <w:t xml:space="preserve">; Kirchner &amp; </w:t>
              </w:r>
              <w:proofErr w:type="spellStart"/>
              <w:r w:rsidRPr="0068441A">
                <w:rPr>
                  <w:rStyle w:val="Hyperlink"/>
                  <w:rFonts w:ascii="Calibri" w:hAnsi="Calibri"/>
                  <w:color w:val="auto"/>
                  <w:sz w:val="20"/>
                  <w:szCs w:val="20"/>
                  <w:u w:val="none"/>
                </w:rPr>
                <w:t>Diament</w:t>
              </w:r>
              <w:proofErr w:type="spellEnd"/>
              <w:r w:rsidRPr="0068441A">
                <w:rPr>
                  <w:rStyle w:val="Hyperlink"/>
                  <w:rFonts w:ascii="Calibri" w:hAnsi="Calibri"/>
                  <w:color w:val="auto"/>
                  <w:sz w:val="20"/>
                  <w:szCs w:val="20"/>
                  <w:u w:val="none"/>
                </w:rPr>
                <w:t xml:space="preserve"> (1999); J. Erin (personal communication, March 18, 2011) </w:t>
              </w:r>
            </w:hyperlink>
          </w:p>
        </w:tc>
      </w:tr>
      <w:tr w:rsidR="00A72949" w:rsidRPr="0068441A">
        <w:trPr>
          <w:trHeight w:val="772"/>
        </w:trPr>
        <w:tc>
          <w:tcPr>
            <w:tcW w:w="2963" w:type="dxa"/>
            <w:tcBorders>
              <w:top w:val="single" w:sz="8" w:space="0" w:color="auto"/>
              <w:left w:val="single" w:sz="8" w:space="0" w:color="auto"/>
              <w:bottom w:val="single" w:sz="8" w:space="0" w:color="000000"/>
              <w:right w:val="single" w:sz="8" w:space="0" w:color="auto"/>
            </w:tcBorders>
            <w:shd w:val="clear" w:color="auto" w:fill="C2D69B" w:themeFill="accent3" w:themeFillTint="99"/>
          </w:tcPr>
          <w:p w:rsidR="00A72949" w:rsidRPr="0068441A" w:rsidRDefault="000E41F6" w:rsidP="00EF727B">
            <w:pPr>
              <w:spacing w:after="0" w:line="240" w:lineRule="auto"/>
              <w:ind w:left="720"/>
              <w:rPr>
                <w:rFonts w:ascii="Calibri" w:hAnsi="Calibri"/>
                <w:sz w:val="20"/>
                <w:szCs w:val="20"/>
              </w:rPr>
            </w:pPr>
            <w:r w:rsidRPr="0068441A">
              <w:rPr>
                <w:rFonts w:ascii="Calibri" w:hAnsi="Calibri"/>
                <w:sz w:val="20"/>
                <w:szCs w:val="20"/>
              </w:rPr>
              <w:t>Low Vision</w:t>
            </w:r>
            <w:r>
              <w:rPr>
                <w:rFonts w:ascii="Calibri" w:hAnsi="Calibri"/>
                <w:sz w:val="20"/>
                <w:szCs w:val="20"/>
              </w:rPr>
              <w:t xml:space="preserve"> </w:t>
            </w:r>
          </w:p>
        </w:tc>
        <w:tc>
          <w:tcPr>
            <w:tcW w:w="1491" w:type="dxa"/>
            <w:tcBorders>
              <w:top w:val="single" w:sz="8" w:space="0" w:color="auto"/>
              <w:left w:val="single" w:sz="8" w:space="0" w:color="auto"/>
              <w:bottom w:val="single" w:sz="8" w:space="0" w:color="000000"/>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24,609-36,975</w:t>
            </w:r>
          </w:p>
        </w:tc>
        <w:tc>
          <w:tcPr>
            <w:tcW w:w="1238" w:type="dxa"/>
            <w:tcBorders>
              <w:top w:val="single" w:sz="8" w:space="0" w:color="auto"/>
              <w:left w:val="single" w:sz="8" w:space="0" w:color="auto"/>
              <w:bottom w:val="single" w:sz="8" w:space="0" w:color="000000"/>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Pr>
                <w:rFonts w:ascii="Calibri" w:hAnsi="Calibri"/>
                <w:sz w:val="20"/>
                <w:szCs w:val="20"/>
              </w:rPr>
              <w:t>.04%-.06%</w:t>
            </w:r>
          </w:p>
        </w:tc>
        <w:tc>
          <w:tcPr>
            <w:tcW w:w="7392" w:type="dxa"/>
            <w:tcBorders>
              <w:top w:val="nil"/>
              <w:left w:val="nil"/>
              <w:bottom w:val="single" w:sz="8" w:space="0" w:color="auto"/>
              <w:right w:val="single" w:sz="8" w:space="0" w:color="auto"/>
            </w:tcBorders>
            <w:shd w:val="clear" w:color="auto" w:fill="auto"/>
          </w:tcPr>
          <w:p w:rsidR="00A72949" w:rsidRPr="0068441A" w:rsidRDefault="00532AF9" w:rsidP="00A72949">
            <w:pPr>
              <w:spacing w:after="0" w:line="240" w:lineRule="auto"/>
              <w:rPr>
                <w:rFonts w:ascii="Calibri" w:hAnsi="Calibri"/>
                <w:color w:val="0000D4"/>
                <w:sz w:val="20"/>
                <w:szCs w:val="20"/>
                <w:u w:val="single"/>
              </w:rPr>
            </w:pPr>
            <w:hyperlink r:id="rId13" w:history="1">
              <w:r w:rsidR="000E41F6" w:rsidRPr="0068441A">
                <w:rPr>
                  <w:rFonts w:ascii="Calibri" w:hAnsi="Calibri"/>
                  <w:color w:val="0000FF" w:themeColor="hyperlink"/>
                  <w:sz w:val="20"/>
                  <w:szCs w:val="20"/>
                  <w:u w:val="single"/>
                </w:rPr>
                <w:t>DAC https://www.ideadata.org/DACAnalyticTool/Intro_2.asp and</w:t>
              </w:r>
            </w:hyperlink>
          </w:p>
          <w:p w:rsidR="00A72949" w:rsidRPr="0068441A" w:rsidRDefault="000E41F6" w:rsidP="00A72949">
            <w:pPr>
              <w:spacing w:after="0" w:line="240" w:lineRule="auto"/>
              <w:rPr>
                <w:rFonts w:ascii="Calibri" w:hAnsi="Calibri"/>
                <w:color w:val="0000D4"/>
                <w:sz w:val="20"/>
                <w:szCs w:val="20"/>
                <w:u w:val="single"/>
              </w:rPr>
            </w:pPr>
            <w:r w:rsidRPr="0068441A">
              <w:rPr>
                <w:rFonts w:ascii="Calibri" w:hAnsi="Calibri"/>
                <w:color w:val="000000"/>
                <w:sz w:val="20"/>
                <w:szCs w:val="20"/>
              </w:rPr>
              <w:t xml:space="preserve">Same as the category for Blind just above; Kirchner &amp; </w:t>
            </w:r>
            <w:proofErr w:type="spellStart"/>
            <w:r w:rsidRPr="0068441A">
              <w:rPr>
                <w:rFonts w:ascii="Calibri" w:hAnsi="Calibri"/>
                <w:color w:val="000000"/>
                <w:sz w:val="20"/>
                <w:szCs w:val="20"/>
              </w:rPr>
              <w:t>Diament</w:t>
            </w:r>
            <w:proofErr w:type="spellEnd"/>
            <w:r w:rsidRPr="0068441A">
              <w:rPr>
                <w:rFonts w:ascii="Calibri" w:hAnsi="Calibri"/>
                <w:color w:val="000000"/>
                <w:sz w:val="20"/>
                <w:szCs w:val="20"/>
              </w:rPr>
              <w:t xml:space="preserve"> (1999); J. Erin (personal communication, March 18, 2011)</w:t>
            </w:r>
          </w:p>
        </w:tc>
      </w:tr>
      <w:tr w:rsidR="00A72949" w:rsidRPr="0068441A">
        <w:trPr>
          <w:trHeight w:val="540"/>
        </w:trPr>
        <w:tc>
          <w:tcPr>
            <w:tcW w:w="2963" w:type="dxa"/>
            <w:tcBorders>
              <w:top w:val="nil"/>
              <w:left w:val="single" w:sz="8" w:space="0" w:color="auto"/>
              <w:bottom w:val="single" w:sz="8" w:space="0" w:color="auto"/>
              <w:right w:val="single" w:sz="8" w:space="0" w:color="auto"/>
            </w:tcBorders>
            <w:shd w:val="clear" w:color="auto" w:fill="C2D69B" w:themeFill="accent3" w:themeFillTint="99"/>
          </w:tcPr>
          <w:p w:rsidR="00A72949" w:rsidRPr="0068441A" w:rsidRDefault="000E41F6" w:rsidP="00EF727B">
            <w:pPr>
              <w:spacing w:after="0" w:line="240" w:lineRule="auto"/>
              <w:ind w:left="720"/>
              <w:rPr>
                <w:rFonts w:ascii="Calibri" w:hAnsi="Calibri"/>
                <w:sz w:val="20"/>
                <w:szCs w:val="20"/>
              </w:rPr>
            </w:pPr>
            <w:r w:rsidRPr="0068441A">
              <w:rPr>
                <w:rFonts w:ascii="Calibri" w:hAnsi="Calibri"/>
                <w:sz w:val="20"/>
                <w:szCs w:val="20"/>
              </w:rPr>
              <w:t>Deaf/Blind</w:t>
            </w:r>
            <w:r>
              <w:rPr>
                <w:rFonts w:ascii="Calibri" w:hAnsi="Calibri"/>
                <w:sz w:val="20"/>
                <w:szCs w:val="20"/>
              </w:rPr>
              <w:t xml:space="preserve"> </w:t>
            </w:r>
          </w:p>
        </w:tc>
        <w:tc>
          <w:tcPr>
            <w:tcW w:w="1491" w:type="dxa"/>
            <w:tcBorders>
              <w:top w:val="nil"/>
              <w:left w:val="nil"/>
              <w:bottom w:val="single" w:sz="8" w:space="0" w:color="auto"/>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1,581-10,800</w:t>
            </w:r>
          </w:p>
        </w:tc>
        <w:tc>
          <w:tcPr>
            <w:tcW w:w="1238" w:type="dxa"/>
            <w:tcBorders>
              <w:top w:val="nil"/>
              <w:left w:val="nil"/>
              <w:bottom w:val="single" w:sz="8" w:space="0" w:color="auto"/>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Pr>
                <w:rFonts w:ascii="Calibri" w:hAnsi="Calibri"/>
                <w:sz w:val="20"/>
                <w:szCs w:val="20"/>
              </w:rPr>
              <w:t>.002%-.02%</w:t>
            </w:r>
          </w:p>
        </w:tc>
        <w:tc>
          <w:tcPr>
            <w:tcW w:w="7392" w:type="dxa"/>
            <w:tcBorders>
              <w:top w:val="nil"/>
              <w:left w:val="nil"/>
              <w:bottom w:val="single" w:sz="8" w:space="0" w:color="auto"/>
              <w:right w:val="single" w:sz="8" w:space="0" w:color="auto"/>
            </w:tcBorders>
            <w:shd w:val="clear" w:color="auto" w:fill="auto"/>
          </w:tcPr>
          <w:p w:rsidR="00A72949" w:rsidRPr="0068441A" w:rsidRDefault="00532AF9" w:rsidP="00A72949">
            <w:pPr>
              <w:spacing w:after="0" w:line="240" w:lineRule="auto"/>
              <w:rPr>
                <w:rFonts w:ascii="Calibri" w:hAnsi="Calibri"/>
                <w:color w:val="0000D4"/>
                <w:sz w:val="20"/>
                <w:szCs w:val="20"/>
                <w:u w:val="single"/>
              </w:rPr>
            </w:pPr>
            <w:hyperlink r:id="rId14" w:history="1">
              <w:r w:rsidR="000E41F6" w:rsidRPr="0068441A">
                <w:rPr>
                  <w:rStyle w:val="Hyperlink"/>
                  <w:rFonts w:ascii="Calibri" w:hAnsi="Calibri"/>
                  <w:color w:val="auto"/>
                  <w:sz w:val="20"/>
                  <w:szCs w:val="20"/>
                  <w:u w:val="none"/>
                </w:rPr>
                <w:t xml:space="preserve">DAC </w:t>
              </w:r>
              <w:r w:rsidR="000E41F6" w:rsidRPr="0068441A">
                <w:rPr>
                  <w:rStyle w:val="Hyperlink"/>
                  <w:rFonts w:ascii="Calibri" w:hAnsi="Calibri"/>
                  <w:sz w:val="20"/>
                  <w:szCs w:val="20"/>
                </w:rPr>
                <w:t>https://www.ideadata.org/DACAnalyticTool/Intro_2.asp</w:t>
              </w:r>
              <w:r w:rsidR="000E41F6" w:rsidRPr="00776083">
                <w:rPr>
                  <w:rStyle w:val="Hyperlink"/>
                  <w:rFonts w:ascii="Calibri" w:hAnsi="Calibri"/>
                  <w:color w:val="auto"/>
                  <w:sz w:val="20"/>
                  <w:szCs w:val="20"/>
                  <w:u w:val="none"/>
                </w:rPr>
                <w:t xml:space="preserve">; Kirchner &amp; </w:t>
              </w:r>
              <w:proofErr w:type="spellStart"/>
              <w:r w:rsidR="000E41F6" w:rsidRPr="00776083">
                <w:rPr>
                  <w:rStyle w:val="Hyperlink"/>
                  <w:rFonts w:ascii="Calibri" w:hAnsi="Calibri"/>
                  <w:color w:val="auto"/>
                  <w:sz w:val="20"/>
                  <w:szCs w:val="20"/>
                  <w:u w:val="none"/>
                </w:rPr>
                <w:t>Diament</w:t>
              </w:r>
              <w:proofErr w:type="spellEnd"/>
              <w:r w:rsidR="000E41F6" w:rsidRPr="00776083">
                <w:rPr>
                  <w:rStyle w:val="Hyperlink"/>
                  <w:rFonts w:ascii="Calibri" w:hAnsi="Calibri"/>
                  <w:color w:val="auto"/>
                  <w:sz w:val="20"/>
                  <w:szCs w:val="20"/>
                  <w:u w:val="none"/>
                </w:rPr>
                <w:t xml:space="preserve"> (1999)</w:t>
              </w:r>
              <w:r w:rsidR="000E41F6" w:rsidRPr="0068441A">
                <w:rPr>
                  <w:rStyle w:val="Hyperlink"/>
                  <w:rFonts w:ascii="Calibri" w:hAnsi="Calibri"/>
                  <w:sz w:val="20"/>
                  <w:szCs w:val="20"/>
                </w:rPr>
                <w:t xml:space="preserve"> </w:t>
              </w:r>
            </w:hyperlink>
          </w:p>
        </w:tc>
      </w:tr>
      <w:tr w:rsidR="00EF727B" w:rsidRPr="0068441A">
        <w:trPr>
          <w:trHeight w:val="540"/>
        </w:trPr>
        <w:tc>
          <w:tcPr>
            <w:tcW w:w="2963" w:type="dxa"/>
            <w:tcBorders>
              <w:top w:val="nil"/>
              <w:left w:val="single" w:sz="8" w:space="0" w:color="auto"/>
              <w:bottom w:val="single" w:sz="8" w:space="0" w:color="auto"/>
              <w:right w:val="single" w:sz="8" w:space="0" w:color="auto"/>
            </w:tcBorders>
            <w:shd w:val="clear" w:color="auto" w:fill="C2D69B" w:themeFill="accent3" w:themeFillTint="99"/>
          </w:tcPr>
          <w:p w:rsidR="00EF727B" w:rsidRPr="0068441A" w:rsidRDefault="000E41F6" w:rsidP="00EF727B">
            <w:pPr>
              <w:spacing w:after="0" w:line="240" w:lineRule="auto"/>
              <w:ind w:left="720"/>
              <w:rPr>
                <w:rFonts w:ascii="Calibri" w:hAnsi="Calibri"/>
                <w:sz w:val="20"/>
                <w:szCs w:val="20"/>
              </w:rPr>
            </w:pPr>
            <w:r>
              <w:rPr>
                <w:rFonts w:ascii="Calibri" w:hAnsi="Calibri"/>
                <w:sz w:val="20"/>
                <w:szCs w:val="20"/>
              </w:rPr>
              <w:t>Multiple Disabilities &amp; VI</w:t>
            </w:r>
          </w:p>
        </w:tc>
        <w:tc>
          <w:tcPr>
            <w:tcW w:w="1491" w:type="dxa"/>
            <w:tcBorders>
              <w:top w:val="nil"/>
              <w:left w:val="nil"/>
              <w:bottom w:val="single" w:sz="8" w:space="0" w:color="auto"/>
              <w:right w:val="single" w:sz="8" w:space="0" w:color="auto"/>
            </w:tcBorders>
            <w:shd w:val="clear" w:color="auto" w:fill="auto"/>
          </w:tcPr>
          <w:p w:rsidR="00EF727B" w:rsidRPr="0068441A" w:rsidRDefault="000E41F6" w:rsidP="0068441A">
            <w:pPr>
              <w:spacing w:after="0" w:line="240" w:lineRule="auto"/>
              <w:rPr>
                <w:rFonts w:ascii="Calibri" w:hAnsi="Calibri"/>
                <w:sz w:val="20"/>
                <w:szCs w:val="20"/>
              </w:rPr>
            </w:pPr>
            <w:r w:rsidRPr="00EF727B">
              <w:rPr>
                <w:rFonts w:ascii="Calibri" w:hAnsi="Calibri"/>
                <w:sz w:val="20"/>
                <w:szCs w:val="20"/>
              </w:rPr>
              <w:t>50,100</w:t>
            </w:r>
          </w:p>
        </w:tc>
        <w:tc>
          <w:tcPr>
            <w:tcW w:w="1238" w:type="dxa"/>
            <w:tcBorders>
              <w:top w:val="nil"/>
              <w:left w:val="nil"/>
              <w:bottom w:val="single" w:sz="8" w:space="0" w:color="auto"/>
              <w:right w:val="single" w:sz="8" w:space="0" w:color="auto"/>
            </w:tcBorders>
            <w:shd w:val="clear" w:color="auto" w:fill="auto"/>
          </w:tcPr>
          <w:p w:rsidR="00EF727B" w:rsidRPr="0068441A" w:rsidRDefault="000E41F6" w:rsidP="0068441A">
            <w:pPr>
              <w:spacing w:after="0" w:line="240" w:lineRule="auto"/>
              <w:rPr>
                <w:rFonts w:ascii="Calibri" w:hAnsi="Calibri"/>
                <w:sz w:val="20"/>
                <w:szCs w:val="20"/>
              </w:rPr>
            </w:pPr>
            <w:r>
              <w:rPr>
                <w:rFonts w:ascii="Calibri" w:hAnsi="Calibri"/>
                <w:sz w:val="20"/>
                <w:szCs w:val="20"/>
              </w:rPr>
              <w:t>.08%</w:t>
            </w:r>
          </w:p>
        </w:tc>
        <w:tc>
          <w:tcPr>
            <w:tcW w:w="7392" w:type="dxa"/>
            <w:tcBorders>
              <w:top w:val="nil"/>
              <w:left w:val="nil"/>
              <w:bottom w:val="single" w:sz="8" w:space="0" w:color="auto"/>
              <w:right w:val="single" w:sz="8" w:space="0" w:color="auto"/>
            </w:tcBorders>
            <w:shd w:val="clear" w:color="auto" w:fill="auto"/>
          </w:tcPr>
          <w:p w:rsidR="00EF727B" w:rsidRDefault="000E41F6" w:rsidP="00A72949">
            <w:pPr>
              <w:spacing w:after="0" w:line="240" w:lineRule="auto"/>
            </w:pPr>
            <w:r>
              <w:t xml:space="preserve">Kirchner &amp; </w:t>
            </w:r>
            <w:proofErr w:type="spellStart"/>
            <w:r>
              <w:t>Diament</w:t>
            </w:r>
            <w:proofErr w:type="spellEnd"/>
            <w:r>
              <w:t xml:space="preserve"> (1999)</w:t>
            </w:r>
          </w:p>
        </w:tc>
      </w:tr>
      <w:tr w:rsidR="00A72949" w:rsidRPr="0068441A">
        <w:trPr>
          <w:trHeight w:val="280"/>
        </w:trPr>
        <w:tc>
          <w:tcPr>
            <w:tcW w:w="2963" w:type="dxa"/>
            <w:tcBorders>
              <w:top w:val="nil"/>
              <w:left w:val="single" w:sz="8" w:space="0" w:color="auto"/>
              <w:bottom w:val="single" w:sz="8" w:space="0" w:color="auto"/>
              <w:right w:val="single" w:sz="8" w:space="0" w:color="auto"/>
            </w:tcBorders>
            <w:shd w:val="clear" w:color="auto" w:fill="C2D69B" w:themeFill="accent3" w:themeFillTint="99"/>
          </w:tcPr>
          <w:p w:rsidR="00A72949" w:rsidRPr="0068441A" w:rsidRDefault="000E41F6" w:rsidP="00EE74A7">
            <w:pPr>
              <w:spacing w:after="0" w:line="240" w:lineRule="auto"/>
              <w:rPr>
                <w:rFonts w:ascii="Calibri" w:hAnsi="Calibri"/>
                <w:sz w:val="20"/>
                <w:szCs w:val="20"/>
              </w:rPr>
            </w:pPr>
            <w:r w:rsidRPr="0068441A">
              <w:rPr>
                <w:rFonts w:ascii="Calibri" w:hAnsi="Calibri"/>
                <w:sz w:val="20"/>
                <w:szCs w:val="20"/>
              </w:rPr>
              <w:t>Students w/ Physical Disabilities</w:t>
            </w:r>
            <w:r>
              <w:rPr>
                <w:rFonts w:ascii="Calibri" w:hAnsi="Calibri"/>
                <w:sz w:val="20"/>
                <w:szCs w:val="20"/>
              </w:rPr>
              <w:t xml:space="preserve"> </w:t>
            </w:r>
          </w:p>
        </w:tc>
        <w:tc>
          <w:tcPr>
            <w:tcW w:w="1491" w:type="dxa"/>
            <w:tcBorders>
              <w:top w:val="nil"/>
              <w:left w:val="nil"/>
              <w:bottom w:val="single" w:sz="8" w:space="0" w:color="auto"/>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65,615</w:t>
            </w:r>
          </w:p>
        </w:tc>
        <w:tc>
          <w:tcPr>
            <w:tcW w:w="1238" w:type="dxa"/>
            <w:tcBorders>
              <w:top w:val="nil"/>
              <w:left w:val="nil"/>
              <w:bottom w:val="single" w:sz="8" w:space="0" w:color="auto"/>
              <w:right w:val="single" w:sz="8" w:space="0" w:color="auto"/>
            </w:tcBorders>
            <w:shd w:val="clear" w:color="auto" w:fill="auto"/>
          </w:tcPr>
          <w:p w:rsidR="00A72949" w:rsidRPr="0068441A" w:rsidRDefault="000E41F6" w:rsidP="0068441A">
            <w:pPr>
              <w:spacing w:after="0" w:line="240" w:lineRule="auto"/>
              <w:rPr>
                <w:rFonts w:ascii="Calibri" w:hAnsi="Calibri"/>
                <w:sz w:val="20"/>
                <w:szCs w:val="20"/>
              </w:rPr>
            </w:pPr>
            <w:r w:rsidRPr="0068441A">
              <w:rPr>
                <w:rFonts w:ascii="Calibri" w:hAnsi="Calibri"/>
                <w:sz w:val="20"/>
                <w:szCs w:val="20"/>
              </w:rPr>
              <w:t>0.10%</w:t>
            </w:r>
          </w:p>
        </w:tc>
        <w:tc>
          <w:tcPr>
            <w:tcW w:w="7392" w:type="dxa"/>
            <w:tcBorders>
              <w:top w:val="nil"/>
              <w:left w:val="nil"/>
              <w:bottom w:val="single" w:sz="8" w:space="0" w:color="auto"/>
              <w:right w:val="single" w:sz="8" w:space="0" w:color="auto"/>
            </w:tcBorders>
            <w:shd w:val="clear" w:color="auto" w:fill="auto"/>
          </w:tcPr>
          <w:p w:rsidR="00246AD8" w:rsidRDefault="00532AF9" w:rsidP="00A72949">
            <w:pPr>
              <w:spacing w:after="0" w:line="240" w:lineRule="auto"/>
              <w:rPr>
                <w:rFonts w:ascii="Calibri" w:hAnsi="Calibri"/>
                <w:color w:val="0000D4"/>
                <w:sz w:val="20"/>
                <w:szCs w:val="20"/>
                <w:u w:val="single"/>
              </w:rPr>
            </w:pPr>
            <w:hyperlink r:id="rId15" w:history="1">
              <w:r w:rsidR="000E41F6" w:rsidRPr="0068441A">
                <w:rPr>
                  <w:rFonts w:ascii="Calibri" w:hAnsi="Calibri"/>
                  <w:sz w:val="20"/>
                  <w:szCs w:val="20"/>
                </w:rPr>
                <w:t xml:space="preserve">DAC </w:t>
              </w:r>
              <w:r w:rsidR="000E41F6" w:rsidRPr="0068441A">
                <w:rPr>
                  <w:rFonts w:ascii="Calibri" w:hAnsi="Calibri"/>
                  <w:color w:val="0000FF" w:themeColor="hyperlink"/>
                  <w:sz w:val="20"/>
                  <w:szCs w:val="20"/>
                  <w:u w:val="single"/>
                </w:rPr>
                <w:t>https://www.ideadata.org/DACAnalyticTool/Intro_2.asp</w:t>
              </w:r>
            </w:hyperlink>
          </w:p>
          <w:p w:rsidR="00A72949" w:rsidRPr="00246AD8" w:rsidRDefault="00532AF9" w:rsidP="00A72949">
            <w:pPr>
              <w:spacing w:after="0" w:line="240" w:lineRule="auto"/>
              <w:rPr>
                <w:rFonts w:ascii="Calibri" w:hAnsi="Calibri"/>
                <w:b/>
                <w:sz w:val="20"/>
                <w:szCs w:val="20"/>
              </w:rPr>
            </w:pPr>
          </w:p>
        </w:tc>
      </w:tr>
      <w:tr w:rsidR="00AB55C8" w:rsidRPr="0068441A">
        <w:trPr>
          <w:trHeight w:val="1012"/>
        </w:trPr>
        <w:tc>
          <w:tcPr>
            <w:tcW w:w="2963" w:type="dxa"/>
            <w:tcBorders>
              <w:top w:val="single" w:sz="8" w:space="0" w:color="auto"/>
              <w:left w:val="single" w:sz="8" w:space="0" w:color="auto"/>
              <w:bottom w:val="single" w:sz="8" w:space="0" w:color="000000"/>
              <w:right w:val="single" w:sz="8" w:space="0" w:color="auto"/>
            </w:tcBorders>
            <w:shd w:val="clear" w:color="auto" w:fill="E5B8B7" w:themeFill="accent2" w:themeFillTint="66"/>
          </w:tcPr>
          <w:p w:rsidR="00AB55C8" w:rsidRPr="0068441A" w:rsidRDefault="000E41F6" w:rsidP="00A72949">
            <w:pPr>
              <w:spacing w:after="0" w:line="240" w:lineRule="auto"/>
              <w:rPr>
                <w:rFonts w:ascii="Calibri" w:hAnsi="Calibri"/>
                <w:sz w:val="20"/>
                <w:szCs w:val="20"/>
              </w:rPr>
            </w:pPr>
            <w:r w:rsidRPr="0068441A">
              <w:rPr>
                <w:rFonts w:ascii="Calibri" w:hAnsi="Calibri"/>
                <w:b/>
                <w:bCs/>
                <w:sz w:val="20"/>
                <w:szCs w:val="20"/>
              </w:rPr>
              <w:lastRenderedPageBreak/>
              <w:t>Unable to hold book, turn pages</w:t>
            </w:r>
          </w:p>
        </w:tc>
        <w:tc>
          <w:tcPr>
            <w:tcW w:w="1491" w:type="dxa"/>
            <w:tcBorders>
              <w:top w:val="single" w:sz="8" w:space="0" w:color="auto"/>
              <w:left w:val="single" w:sz="8" w:space="0" w:color="auto"/>
              <w:bottom w:val="single" w:sz="8" w:space="0" w:color="000000"/>
              <w:right w:val="single" w:sz="8" w:space="0" w:color="auto"/>
            </w:tcBorders>
            <w:shd w:val="clear" w:color="auto" w:fill="E5B8B7" w:themeFill="accent2" w:themeFillTint="66"/>
          </w:tcPr>
          <w:p w:rsidR="00AB55C8" w:rsidRPr="0068441A" w:rsidRDefault="000E41F6" w:rsidP="0068441A">
            <w:pPr>
              <w:spacing w:after="0" w:line="240" w:lineRule="auto"/>
              <w:rPr>
                <w:rFonts w:ascii="Calibri" w:hAnsi="Calibri"/>
                <w:sz w:val="20"/>
                <w:szCs w:val="20"/>
              </w:rPr>
            </w:pPr>
            <w:r w:rsidRPr="0068441A">
              <w:rPr>
                <w:rFonts w:ascii="Calibri" w:hAnsi="Calibri"/>
                <w:sz w:val="20"/>
                <w:szCs w:val="20"/>
              </w:rPr>
              <w:t>52,230</w:t>
            </w:r>
          </w:p>
        </w:tc>
        <w:tc>
          <w:tcPr>
            <w:tcW w:w="1238" w:type="dxa"/>
            <w:tcBorders>
              <w:top w:val="single" w:sz="8" w:space="0" w:color="auto"/>
              <w:left w:val="single" w:sz="8" w:space="0" w:color="auto"/>
              <w:bottom w:val="single" w:sz="8" w:space="0" w:color="000000"/>
              <w:right w:val="single" w:sz="8" w:space="0" w:color="auto"/>
            </w:tcBorders>
            <w:shd w:val="clear" w:color="auto" w:fill="E5B8B7" w:themeFill="accent2" w:themeFillTint="66"/>
          </w:tcPr>
          <w:p w:rsidR="00AB55C8" w:rsidRPr="0068441A" w:rsidRDefault="000E41F6" w:rsidP="0068441A">
            <w:pPr>
              <w:spacing w:after="0" w:line="240" w:lineRule="auto"/>
              <w:rPr>
                <w:rFonts w:ascii="Calibri" w:hAnsi="Calibri"/>
                <w:sz w:val="20"/>
                <w:szCs w:val="20"/>
              </w:rPr>
            </w:pPr>
            <w:r w:rsidRPr="0068441A">
              <w:rPr>
                <w:rFonts w:ascii="Calibri" w:hAnsi="Calibri"/>
                <w:sz w:val="20"/>
                <w:szCs w:val="20"/>
              </w:rPr>
              <w:t>0.08%</w:t>
            </w:r>
          </w:p>
        </w:tc>
        <w:tc>
          <w:tcPr>
            <w:tcW w:w="7392" w:type="dxa"/>
            <w:tcBorders>
              <w:top w:val="nil"/>
              <w:left w:val="nil"/>
              <w:bottom w:val="single" w:sz="8" w:space="0" w:color="auto"/>
              <w:right w:val="single" w:sz="8" w:space="0" w:color="auto"/>
            </w:tcBorders>
            <w:shd w:val="clear" w:color="auto" w:fill="auto"/>
          </w:tcPr>
          <w:p w:rsidR="00AB55C8" w:rsidRPr="0068441A" w:rsidRDefault="00532AF9" w:rsidP="00A72949">
            <w:pPr>
              <w:spacing w:after="0" w:line="240" w:lineRule="auto"/>
              <w:rPr>
                <w:rFonts w:ascii="Calibri" w:hAnsi="Calibri"/>
                <w:color w:val="0000D4"/>
                <w:sz w:val="20"/>
                <w:szCs w:val="20"/>
                <w:u w:val="single"/>
              </w:rPr>
            </w:pPr>
            <w:hyperlink r:id="rId16" w:history="1">
              <w:r w:rsidR="000E41F6" w:rsidRPr="0068441A">
                <w:rPr>
                  <w:rFonts w:ascii="Calibri" w:hAnsi="Calibri"/>
                  <w:sz w:val="20"/>
                  <w:szCs w:val="20"/>
                </w:rPr>
                <w:t xml:space="preserve">DAC </w:t>
              </w:r>
              <w:r w:rsidR="000E41F6" w:rsidRPr="0068441A">
                <w:rPr>
                  <w:rFonts w:ascii="Calibri" w:hAnsi="Calibri"/>
                  <w:color w:val="0000FF" w:themeColor="hyperlink"/>
                  <w:sz w:val="20"/>
                  <w:szCs w:val="20"/>
                  <w:u w:val="single"/>
                </w:rPr>
                <w:t>https://www.ideadata.org/DACAnalyticTool/Intro_2.asp</w:t>
              </w:r>
              <w:r w:rsidR="000E41F6" w:rsidRPr="0068441A">
                <w:rPr>
                  <w:rFonts w:ascii="Calibri" w:hAnsi="Calibri"/>
                  <w:sz w:val="20"/>
                  <w:szCs w:val="20"/>
                </w:rPr>
                <w:t xml:space="preserve"> and</w:t>
              </w:r>
            </w:hyperlink>
          </w:p>
          <w:p w:rsidR="00AB55C8" w:rsidRPr="0055178D" w:rsidRDefault="000E41F6" w:rsidP="00A72949">
            <w:pPr>
              <w:spacing w:after="0" w:line="240" w:lineRule="auto"/>
              <w:rPr>
                <w:rFonts w:ascii="Calibri" w:hAnsi="Calibri"/>
                <w:color w:val="000000"/>
                <w:sz w:val="20"/>
                <w:szCs w:val="20"/>
              </w:rPr>
            </w:pPr>
            <w:r w:rsidRPr="0068441A">
              <w:rPr>
                <w:rFonts w:ascii="Calibri" w:hAnsi="Calibri"/>
                <w:color w:val="000000"/>
                <w:sz w:val="20"/>
                <w:szCs w:val="20"/>
              </w:rPr>
              <w:t xml:space="preserve">From “Disability Profiles of Elementary and Middle School Students with Disabilities,” Special Education Elementary Longitudinal Study </w:t>
            </w:r>
            <w:hyperlink r:id="rId17" w:history="1">
              <w:r w:rsidRPr="0068441A">
                <w:rPr>
                  <w:rStyle w:val="Hyperlink"/>
                  <w:rFonts w:ascii="Calibri" w:hAnsi="Calibri"/>
                  <w:sz w:val="20"/>
                  <w:szCs w:val="20"/>
                </w:rPr>
                <w:t>http://www.seels.net/designdocs/SEELS_disability_profile.pdf</w:t>
              </w:r>
            </w:hyperlink>
          </w:p>
        </w:tc>
      </w:tr>
      <w:tr w:rsidR="004B69A7" w:rsidRPr="0068441A">
        <w:trPr>
          <w:trHeight w:val="280"/>
        </w:trPr>
        <w:tc>
          <w:tcPr>
            <w:tcW w:w="2963" w:type="dxa"/>
            <w:tcBorders>
              <w:top w:val="nil"/>
              <w:left w:val="single" w:sz="8" w:space="0" w:color="auto"/>
              <w:bottom w:val="single" w:sz="8" w:space="0" w:color="auto"/>
              <w:right w:val="single" w:sz="8" w:space="0" w:color="auto"/>
            </w:tcBorders>
            <w:shd w:val="clear" w:color="auto" w:fill="C2D69B" w:themeFill="accent3" w:themeFillTint="99"/>
          </w:tcPr>
          <w:p w:rsidR="004B69A7" w:rsidRPr="0068441A" w:rsidRDefault="000E41F6" w:rsidP="004B69A7">
            <w:pPr>
              <w:spacing w:after="0" w:line="240" w:lineRule="auto"/>
              <w:rPr>
                <w:rFonts w:ascii="Calibri" w:hAnsi="Calibri"/>
                <w:sz w:val="20"/>
                <w:szCs w:val="20"/>
              </w:rPr>
            </w:pPr>
            <w:r>
              <w:rPr>
                <w:rFonts w:ascii="Calibri" w:hAnsi="Calibri"/>
                <w:sz w:val="20"/>
                <w:szCs w:val="20"/>
              </w:rPr>
              <w:t>Other Health Impairments</w:t>
            </w:r>
          </w:p>
        </w:tc>
        <w:tc>
          <w:tcPr>
            <w:tcW w:w="1491" w:type="dxa"/>
            <w:tcBorders>
              <w:top w:val="nil"/>
              <w:left w:val="nil"/>
              <w:bottom w:val="single" w:sz="8" w:space="0" w:color="auto"/>
              <w:right w:val="single" w:sz="8" w:space="0" w:color="auto"/>
            </w:tcBorders>
            <w:shd w:val="clear" w:color="auto" w:fill="auto"/>
          </w:tcPr>
          <w:p w:rsidR="004B69A7" w:rsidRPr="0068441A" w:rsidRDefault="000E41F6" w:rsidP="0068441A">
            <w:pPr>
              <w:spacing w:after="0" w:line="240" w:lineRule="auto"/>
              <w:rPr>
                <w:rFonts w:ascii="Calibri" w:hAnsi="Calibri"/>
                <w:sz w:val="20"/>
                <w:szCs w:val="20"/>
              </w:rPr>
            </w:pPr>
            <w:r w:rsidRPr="004B69A7">
              <w:rPr>
                <w:rFonts w:ascii="Calibri" w:hAnsi="Calibri"/>
                <w:sz w:val="20"/>
                <w:szCs w:val="20"/>
              </w:rPr>
              <w:t>698,521</w:t>
            </w:r>
          </w:p>
        </w:tc>
        <w:tc>
          <w:tcPr>
            <w:tcW w:w="1238" w:type="dxa"/>
            <w:tcBorders>
              <w:top w:val="nil"/>
              <w:left w:val="nil"/>
              <w:bottom w:val="single" w:sz="8" w:space="0" w:color="auto"/>
              <w:right w:val="single" w:sz="8" w:space="0" w:color="auto"/>
            </w:tcBorders>
            <w:shd w:val="clear" w:color="auto" w:fill="auto"/>
          </w:tcPr>
          <w:p w:rsidR="004B69A7" w:rsidRPr="0068441A" w:rsidRDefault="000E41F6" w:rsidP="0068441A">
            <w:pPr>
              <w:spacing w:after="0" w:line="240" w:lineRule="auto"/>
              <w:rPr>
                <w:rFonts w:ascii="Calibri" w:hAnsi="Calibri"/>
                <w:sz w:val="20"/>
                <w:szCs w:val="20"/>
              </w:rPr>
            </w:pPr>
            <w:r>
              <w:rPr>
                <w:rFonts w:ascii="Calibri" w:hAnsi="Calibri"/>
                <w:sz w:val="20"/>
                <w:szCs w:val="20"/>
              </w:rPr>
              <w:t>0.90%</w:t>
            </w:r>
          </w:p>
        </w:tc>
        <w:tc>
          <w:tcPr>
            <w:tcW w:w="7392" w:type="dxa"/>
            <w:tcBorders>
              <w:top w:val="nil"/>
              <w:left w:val="nil"/>
              <w:bottom w:val="single" w:sz="8" w:space="0" w:color="auto"/>
              <w:right w:val="single" w:sz="8" w:space="0" w:color="auto"/>
            </w:tcBorders>
            <w:shd w:val="clear" w:color="auto" w:fill="auto"/>
          </w:tcPr>
          <w:p w:rsidR="004B69A7" w:rsidRPr="004B69A7" w:rsidRDefault="00532AF9" w:rsidP="00A72949">
            <w:pPr>
              <w:spacing w:after="0" w:line="240" w:lineRule="auto"/>
              <w:rPr>
                <w:rFonts w:ascii="Calibri" w:hAnsi="Calibri"/>
                <w:color w:val="0000D4"/>
                <w:sz w:val="20"/>
                <w:szCs w:val="20"/>
                <w:u w:val="single"/>
              </w:rPr>
            </w:pPr>
            <w:hyperlink r:id="rId18" w:history="1">
              <w:r w:rsidR="000E41F6" w:rsidRPr="0068441A">
                <w:rPr>
                  <w:rFonts w:ascii="Calibri" w:hAnsi="Calibri"/>
                  <w:sz w:val="20"/>
                  <w:szCs w:val="20"/>
                </w:rPr>
                <w:t xml:space="preserve">DAC </w:t>
              </w:r>
              <w:r w:rsidR="000E41F6" w:rsidRPr="0068441A">
                <w:rPr>
                  <w:rFonts w:ascii="Calibri" w:hAnsi="Calibri"/>
                  <w:color w:val="0000FF" w:themeColor="hyperlink"/>
                  <w:sz w:val="20"/>
                  <w:szCs w:val="20"/>
                  <w:u w:val="single"/>
                </w:rPr>
                <w:t>https://www.ideadata.org/DACAnalyticTool/Intro_2.asp</w:t>
              </w:r>
            </w:hyperlink>
          </w:p>
        </w:tc>
      </w:tr>
      <w:tr w:rsidR="0055178D" w:rsidRPr="0068441A">
        <w:trPr>
          <w:trHeight w:val="1316"/>
        </w:trPr>
        <w:tc>
          <w:tcPr>
            <w:tcW w:w="2963" w:type="dxa"/>
            <w:tcBorders>
              <w:top w:val="nil"/>
              <w:left w:val="single" w:sz="8" w:space="0" w:color="auto"/>
              <w:bottom w:val="single" w:sz="8" w:space="0" w:color="auto"/>
              <w:right w:val="single" w:sz="8" w:space="0" w:color="auto"/>
            </w:tcBorders>
            <w:shd w:val="clear" w:color="auto" w:fill="E5B8B7" w:themeFill="accent2" w:themeFillTint="66"/>
          </w:tcPr>
          <w:p w:rsidR="0055178D" w:rsidRPr="0068441A" w:rsidRDefault="000E41F6" w:rsidP="00A72949">
            <w:pPr>
              <w:spacing w:after="0" w:line="240" w:lineRule="auto"/>
              <w:rPr>
                <w:rFonts w:ascii="Calibri" w:hAnsi="Calibri"/>
                <w:b/>
                <w:bCs/>
                <w:sz w:val="20"/>
                <w:szCs w:val="20"/>
              </w:rPr>
            </w:pPr>
            <w:r w:rsidRPr="0068441A">
              <w:rPr>
                <w:rFonts w:ascii="Calibri" w:hAnsi="Calibri"/>
                <w:b/>
                <w:bCs/>
                <w:sz w:val="20"/>
                <w:szCs w:val="20"/>
              </w:rPr>
              <w:t>Students w/ Multiple Disabilities</w:t>
            </w:r>
            <w:r>
              <w:rPr>
                <w:rFonts w:ascii="Calibri" w:hAnsi="Calibri"/>
                <w:b/>
                <w:bCs/>
                <w:sz w:val="20"/>
                <w:szCs w:val="20"/>
              </w:rPr>
              <w:t xml:space="preserve"> (except visually impaired)</w:t>
            </w:r>
          </w:p>
        </w:tc>
        <w:tc>
          <w:tcPr>
            <w:tcW w:w="1491" w:type="dxa"/>
            <w:tcBorders>
              <w:top w:val="nil"/>
              <w:left w:val="nil"/>
              <w:bottom w:val="single" w:sz="8" w:space="0" w:color="auto"/>
              <w:right w:val="single" w:sz="8" w:space="0" w:color="auto"/>
            </w:tcBorders>
            <w:shd w:val="clear" w:color="auto" w:fill="E5B8B7" w:themeFill="accent2" w:themeFillTint="66"/>
          </w:tcPr>
          <w:p w:rsidR="0055178D" w:rsidRPr="0068441A" w:rsidRDefault="000E41F6" w:rsidP="0068441A">
            <w:pPr>
              <w:spacing w:after="0" w:line="240" w:lineRule="auto"/>
              <w:rPr>
                <w:rFonts w:ascii="Calibri" w:hAnsi="Calibri"/>
                <w:sz w:val="20"/>
                <w:szCs w:val="20"/>
              </w:rPr>
            </w:pPr>
            <w:r>
              <w:rPr>
                <w:rFonts w:ascii="Calibri" w:hAnsi="Calibri"/>
                <w:sz w:val="20"/>
                <w:szCs w:val="20"/>
              </w:rPr>
              <w:t>52,971-82,327</w:t>
            </w:r>
          </w:p>
        </w:tc>
        <w:tc>
          <w:tcPr>
            <w:tcW w:w="1238" w:type="dxa"/>
            <w:tcBorders>
              <w:top w:val="nil"/>
              <w:left w:val="nil"/>
              <w:bottom w:val="single" w:sz="8" w:space="0" w:color="auto"/>
              <w:right w:val="single" w:sz="8" w:space="0" w:color="auto"/>
            </w:tcBorders>
            <w:shd w:val="clear" w:color="auto" w:fill="E5B8B7" w:themeFill="accent2" w:themeFillTint="66"/>
          </w:tcPr>
          <w:p w:rsidR="0055178D" w:rsidRPr="0068441A" w:rsidRDefault="000E41F6" w:rsidP="0068441A">
            <w:pPr>
              <w:spacing w:after="0" w:line="240" w:lineRule="auto"/>
              <w:rPr>
                <w:rFonts w:ascii="Calibri" w:hAnsi="Calibri"/>
                <w:sz w:val="20"/>
                <w:szCs w:val="20"/>
              </w:rPr>
            </w:pPr>
            <w:r>
              <w:rPr>
                <w:rFonts w:ascii="Calibri" w:hAnsi="Calibri"/>
                <w:sz w:val="20"/>
                <w:szCs w:val="20"/>
              </w:rPr>
              <w:t>.08%-.13%</w:t>
            </w:r>
          </w:p>
        </w:tc>
        <w:tc>
          <w:tcPr>
            <w:tcW w:w="7392" w:type="dxa"/>
            <w:tcBorders>
              <w:top w:val="nil"/>
              <w:left w:val="nil"/>
              <w:bottom w:val="single" w:sz="8" w:space="0" w:color="auto"/>
              <w:right w:val="single" w:sz="8" w:space="0" w:color="auto"/>
            </w:tcBorders>
            <w:shd w:val="clear" w:color="auto" w:fill="auto"/>
          </w:tcPr>
          <w:p w:rsidR="0055178D" w:rsidRPr="0068441A" w:rsidRDefault="00532AF9" w:rsidP="00A72949">
            <w:pPr>
              <w:spacing w:after="0" w:line="240" w:lineRule="auto"/>
              <w:rPr>
                <w:rFonts w:ascii="Calibri" w:hAnsi="Calibri"/>
                <w:color w:val="0000D4"/>
                <w:sz w:val="20"/>
                <w:szCs w:val="20"/>
                <w:u w:val="single"/>
              </w:rPr>
            </w:pPr>
            <w:hyperlink r:id="rId19" w:history="1">
              <w:r w:rsidR="000E41F6" w:rsidRPr="0068441A">
                <w:rPr>
                  <w:rFonts w:ascii="Calibri" w:hAnsi="Calibri"/>
                  <w:sz w:val="20"/>
                  <w:szCs w:val="20"/>
                </w:rPr>
                <w:t xml:space="preserve">DAC </w:t>
              </w:r>
              <w:r w:rsidR="000E41F6" w:rsidRPr="0068441A">
                <w:rPr>
                  <w:rFonts w:ascii="Calibri" w:hAnsi="Calibri"/>
                  <w:color w:val="0000FF" w:themeColor="hyperlink"/>
                  <w:sz w:val="20"/>
                  <w:szCs w:val="20"/>
                  <w:u w:val="single"/>
                </w:rPr>
                <w:t xml:space="preserve">https://www.ideadata.org/DACAnalyticTool/Intro_2.asp </w:t>
              </w:r>
            </w:hyperlink>
          </w:p>
          <w:p w:rsidR="0055178D" w:rsidRPr="0068441A" w:rsidRDefault="000E41F6" w:rsidP="00485C9B">
            <w:pPr>
              <w:spacing w:after="0" w:line="240" w:lineRule="auto"/>
              <w:rPr>
                <w:rFonts w:ascii="Calibri" w:hAnsi="Calibri"/>
                <w:color w:val="0000D4"/>
                <w:sz w:val="20"/>
                <w:szCs w:val="20"/>
                <w:u w:val="single"/>
              </w:rPr>
            </w:pPr>
            <w:r>
              <w:rPr>
                <w:rFonts w:ascii="Calibri" w:hAnsi="Calibri"/>
              </w:rPr>
              <w:t xml:space="preserve">Note that this category excludes students with visual impairment.  It has been suggested that all students with multiple disabilities are likely to have a reading related disability. </w:t>
            </w:r>
            <w:r w:rsidRPr="0068441A">
              <w:rPr>
                <w:rFonts w:ascii="Calibri" w:hAnsi="Calibri"/>
              </w:rPr>
              <w:t xml:space="preserve">M. </w:t>
            </w:r>
            <w:proofErr w:type="spellStart"/>
            <w:r w:rsidRPr="0068441A">
              <w:rPr>
                <w:rFonts w:ascii="Calibri" w:hAnsi="Calibri"/>
              </w:rPr>
              <w:t>Thurlow</w:t>
            </w:r>
            <w:proofErr w:type="spellEnd"/>
            <w:r w:rsidRPr="0068441A">
              <w:rPr>
                <w:rFonts w:ascii="Calibri" w:hAnsi="Calibri"/>
              </w:rPr>
              <w:t xml:space="preserve"> (personal communication, March 30, 2011)</w:t>
            </w:r>
          </w:p>
        </w:tc>
      </w:tr>
    </w:tbl>
    <w:p w:rsidR="006A65D3" w:rsidRPr="0068441A" w:rsidRDefault="000E41F6">
      <w:r w:rsidRPr="0068441A">
        <w:t xml:space="preserve">*Pink are the Chafee numbers (probably). </w:t>
      </w:r>
    </w:p>
    <w:p w:rsidR="00D63431" w:rsidRPr="0068441A" w:rsidRDefault="000E41F6">
      <w:r w:rsidRPr="0068441A">
        <w:t xml:space="preserve">**Green blocks are subs of a main AIM category, just info or used to </w:t>
      </w:r>
      <w:proofErr w:type="gramStart"/>
      <w:r w:rsidRPr="0068441A">
        <w:t>calculated</w:t>
      </w:r>
      <w:proofErr w:type="gramEnd"/>
      <w:r w:rsidRPr="0068441A">
        <w:t xml:space="preserve"> non-copyright exempted students.</w:t>
      </w:r>
    </w:p>
    <w:p w:rsidR="00D63431" w:rsidRPr="0068441A" w:rsidRDefault="000E41F6" w:rsidP="00D63431">
      <w:pPr>
        <w:pStyle w:val="Heading1"/>
      </w:pPr>
      <w:r w:rsidRPr="0068441A">
        <w:t>Summary</w:t>
      </w:r>
    </w:p>
    <w:p w:rsidR="00DA3B2F" w:rsidRPr="0068441A" w:rsidRDefault="000E41F6">
      <w:proofErr w:type="gramStart"/>
      <w:r w:rsidRPr="0068441A">
        <w:t>Number who may qualify for a copyright exemption under the Chafee Amendment to copyright law</w:t>
      </w:r>
      <w:r>
        <w:t>, using means of ranges where necessary.</w:t>
      </w:r>
      <w:proofErr w:type="gramEnd"/>
      <w:r>
        <w:t xml:space="preserve">  Note that t</w:t>
      </w:r>
      <w:r w:rsidRPr="002400D4">
        <w:t>his a conservat</w:t>
      </w:r>
      <w:r>
        <w:t>ive estimate because of the fact that we used the means of categories with ranges, and data collection procedures for all categories could be improved to gain a more accurate understanding of students in the respective categories.</w:t>
      </w:r>
    </w:p>
    <w:p w:rsidR="00D63431" w:rsidRPr="002400D4" w:rsidRDefault="000E41F6">
      <w:r w:rsidRPr="002400D4">
        <w:tab/>
        <w:t xml:space="preserve">Vision related: </w:t>
      </w:r>
      <w:r w:rsidRPr="002400D4">
        <w:rPr>
          <w:b/>
        </w:rPr>
        <w:t>101,967</w:t>
      </w:r>
    </w:p>
    <w:p w:rsidR="00587652" w:rsidRPr="002400D4" w:rsidRDefault="000E41F6">
      <w:pPr>
        <w:rPr>
          <w:rFonts w:ascii="Calibri" w:hAnsi="Calibri"/>
          <w:szCs w:val="20"/>
        </w:rPr>
      </w:pPr>
      <w:r w:rsidRPr="002400D4">
        <w:tab/>
        <w:t xml:space="preserve">Physical/Health related: </w:t>
      </w:r>
      <w:r w:rsidRPr="00EE74A7">
        <w:rPr>
          <w:b/>
        </w:rPr>
        <w:t>119,879</w:t>
      </w:r>
    </w:p>
    <w:p w:rsidR="00D63431" w:rsidRPr="002400D4" w:rsidRDefault="000E41F6">
      <w:r w:rsidRPr="002400D4">
        <w:tab/>
        <w:t xml:space="preserve">LD Reading related: </w:t>
      </w:r>
      <w:r w:rsidRPr="002400D4">
        <w:rPr>
          <w:b/>
        </w:rPr>
        <w:t>2,026,485</w:t>
      </w:r>
    </w:p>
    <w:p w:rsidR="002400D4" w:rsidRDefault="000E41F6">
      <w:pPr>
        <w:rPr>
          <w:b/>
        </w:rPr>
      </w:pPr>
      <w:r w:rsidRPr="0068441A">
        <w:tab/>
        <w:t xml:space="preserve">TOTAL: </w:t>
      </w:r>
      <w:r w:rsidRPr="002400D4">
        <w:rPr>
          <w:b/>
        </w:rPr>
        <w:t>2,</w:t>
      </w:r>
      <w:r>
        <w:rPr>
          <w:b/>
        </w:rPr>
        <w:t>261,716 (3.4% of students aged 3-21)</w:t>
      </w:r>
    </w:p>
    <w:p w:rsidR="00BA18ED" w:rsidRPr="00090855" w:rsidRDefault="000E41F6">
      <w:r w:rsidRPr="0068441A">
        <w:t xml:space="preserve">Number of others who may benefit from AIM but do not qualify for a copyright exemption: </w:t>
      </w:r>
      <w:r>
        <w:rPr>
          <w:b/>
        </w:rPr>
        <w:t>4,023,723</w:t>
      </w:r>
      <w:r>
        <w:t>.  This total includes students with 504 plans, as well as the entirety of students with physical disabilities, and mean of the estimate of students with ADHD with reading disabilities.  In the future, students who have demonstrated “below basic” proficiency (25% of students) as measured by the NAEP may benefit from AIM.</w:t>
      </w:r>
    </w:p>
    <w:p w:rsidR="00BA18ED" w:rsidRPr="0068441A" w:rsidRDefault="000E41F6" w:rsidP="00BA18ED">
      <w:pPr>
        <w:ind w:firstLine="720"/>
      </w:pPr>
      <w:r w:rsidRPr="0068441A">
        <w:t xml:space="preserve">With Section 504 Plans: </w:t>
      </w:r>
      <w:r w:rsidRPr="00A915E9">
        <w:rPr>
          <w:b/>
        </w:rPr>
        <w:t>444,035</w:t>
      </w:r>
    </w:p>
    <w:p w:rsidR="00BA18ED" w:rsidRPr="0068441A" w:rsidRDefault="000E41F6" w:rsidP="00BA18ED">
      <w:pPr>
        <w:ind w:firstLine="720"/>
      </w:pPr>
      <w:r w:rsidRPr="0068441A">
        <w:t>Other:</w:t>
      </w:r>
      <w:r>
        <w:t xml:space="preserve"> </w:t>
      </w:r>
      <w:r>
        <w:rPr>
          <w:b/>
        </w:rPr>
        <w:t>3,579,688</w:t>
      </w:r>
    </w:p>
    <w:p w:rsidR="00DA3B2F" w:rsidRPr="000E41F6" w:rsidRDefault="000E41F6" w:rsidP="000E41F6">
      <w:pPr>
        <w:ind w:firstLine="720"/>
        <w:rPr>
          <w:b/>
        </w:rPr>
      </w:pPr>
      <w:r w:rsidRPr="0068441A">
        <w:t xml:space="preserve">TOTAL: </w:t>
      </w:r>
      <w:r>
        <w:rPr>
          <w:b/>
        </w:rPr>
        <w:t>4,023,723</w:t>
      </w:r>
    </w:p>
    <w:sectPr w:rsidR="00DA3B2F" w:rsidRPr="000E41F6" w:rsidSect="00DA3B2F">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5B"/>
    <w:rsid w:val="000E41F6"/>
    <w:rsid w:val="00532AF9"/>
    <w:rsid w:val="009F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BB1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185B"/>
    <w:rPr>
      <w:color w:val="0000FF" w:themeColor="hyperlink"/>
      <w:u w:val="single"/>
    </w:rPr>
  </w:style>
  <w:style w:type="character" w:styleId="FollowedHyperlink">
    <w:name w:val="FollowedHyperlink"/>
    <w:basedOn w:val="DefaultParagraphFont"/>
    <w:uiPriority w:val="99"/>
    <w:unhideWhenUsed/>
    <w:rsid w:val="00F937CC"/>
    <w:rPr>
      <w:color w:val="800080" w:themeColor="followedHyperlink"/>
      <w:u w:val="single"/>
    </w:rPr>
  </w:style>
  <w:style w:type="character" w:customStyle="1" w:styleId="apple-converted-space">
    <w:name w:val="apple-converted-space"/>
    <w:basedOn w:val="DefaultParagraphFont"/>
    <w:rsid w:val="00370C94"/>
  </w:style>
  <w:style w:type="character" w:customStyle="1" w:styleId="apple-style-span">
    <w:name w:val="apple-style-span"/>
    <w:basedOn w:val="DefaultParagraphFont"/>
    <w:rsid w:val="00370C94"/>
  </w:style>
  <w:style w:type="character" w:styleId="CommentReference">
    <w:name w:val="annotation reference"/>
    <w:basedOn w:val="DefaultParagraphFont"/>
    <w:rsid w:val="00302A7D"/>
    <w:rPr>
      <w:sz w:val="18"/>
      <w:szCs w:val="18"/>
    </w:rPr>
  </w:style>
  <w:style w:type="paragraph" w:styleId="CommentText">
    <w:name w:val="annotation text"/>
    <w:basedOn w:val="Normal"/>
    <w:link w:val="CommentTextChar"/>
    <w:rsid w:val="00302A7D"/>
    <w:pPr>
      <w:spacing w:line="240" w:lineRule="auto"/>
    </w:pPr>
    <w:rPr>
      <w:sz w:val="24"/>
      <w:szCs w:val="24"/>
    </w:rPr>
  </w:style>
  <w:style w:type="character" w:customStyle="1" w:styleId="CommentTextChar">
    <w:name w:val="Comment Text Char"/>
    <w:basedOn w:val="DefaultParagraphFont"/>
    <w:link w:val="CommentText"/>
    <w:rsid w:val="00302A7D"/>
    <w:rPr>
      <w:sz w:val="24"/>
      <w:szCs w:val="24"/>
    </w:rPr>
  </w:style>
  <w:style w:type="paragraph" w:styleId="CommentSubject">
    <w:name w:val="annotation subject"/>
    <w:basedOn w:val="CommentText"/>
    <w:next w:val="CommentText"/>
    <w:link w:val="CommentSubjectChar"/>
    <w:rsid w:val="00302A7D"/>
    <w:rPr>
      <w:b/>
      <w:bCs/>
      <w:sz w:val="20"/>
      <w:szCs w:val="20"/>
    </w:rPr>
  </w:style>
  <w:style w:type="character" w:customStyle="1" w:styleId="CommentSubjectChar">
    <w:name w:val="Comment Subject Char"/>
    <w:basedOn w:val="CommentTextChar"/>
    <w:link w:val="CommentSubject"/>
    <w:rsid w:val="00302A7D"/>
    <w:rPr>
      <w:b/>
      <w:bCs/>
      <w:sz w:val="20"/>
      <w:szCs w:val="20"/>
    </w:rPr>
  </w:style>
  <w:style w:type="paragraph" w:styleId="BalloonText">
    <w:name w:val="Balloon Text"/>
    <w:basedOn w:val="Normal"/>
    <w:link w:val="BalloonTextChar"/>
    <w:rsid w:val="00302A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02A7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BB1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185B"/>
    <w:rPr>
      <w:color w:val="0000FF" w:themeColor="hyperlink"/>
      <w:u w:val="single"/>
    </w:rPr>
  </w:style>
  <w:style w:type="character" w:styleId="FollowedHyperlink">
    <w:name w:val="FollowedHyperlink"/>
    <w:basedOn w:val="DefaultParagraphFont"/>
    <w:uiPriority w:val="99"/>
    <w:unhideWhenUsed/>
    <w:rsid w:val="00F937CC"/>
    <w:rPr>
      <w:color w:val="800080" w:themeColor="followedHyperlink"/>
      <w:u w:val="single"/>
    </w:rPr>
  </w:style>
  <w:style w:type="character" w:customStyle="1" w:styleId="apple-converted-space">
    <w:name w:val="apple-converted-space"/>
    <w:basedOn w:val="DefaultParagraphFont"/>
    <w:rsid w:val="00370C94"/>
  </w:style>
  <w:style w:type="character" w:customStyle="1" w:styleId="apple-style-span">
    <w:name w:val="apple-style-span"/>
    <w:basedOn w:val="DefaultParagraphFont"/>
    <w:rsid w:val="00370C94"/>
  </w:style>
  <w:style w:type="character" w:styleId="CommentReference">
    <w:name w:val="annotation reference"/>
    <w:basedOn w:val="DefaultParagraphFont"/>
    <w:rsid w:val="00302A7D"/>
    <w:rPr>
      <w:sz w:val="18"/>
      <w:szCs w:val="18"/>
    </w:rPr>
  </w:style>
  <w:style w:type="paragraph" w:styleId="CommentText">
    <w:name w:val="annotation text"/>
    <w:basedOn w:val="Normal"/>
    <w:link w:val="CommentTextChar"/>
    <w:rsid w:val="00302A7D"/>
    <w:pPr>
      <w:spacing w:line="240" w:lineRule="auto"/>
    </w:pPr>
    <w:rPr>
      <w:sz w:val="24"/>
      <w:szCs w:val="24"/>
    </w:rPr>
  </w:style>
  <w:style w:type="character" w:customStyle="1" w:styleId="CommentTextChar">
    <w:name w:val="Comment Text Char"/>
    <w:basedOn w:val="DefaultParagraphFont"/>
    <w:link w:val="CommentText"/>
    <w:rsid w:val="00302A7D"/>
    <w:rPr>
      <w:sz w:val="24"/>
      <w:szCs w:val="24"/>
    </w:rPr>
  </w:style>
  <w:style w:type="paragraph" w:styleId="CommentSubject">
    <w:name w:val="annotation subject"/>
    <w:basedOn w:val="CommentText"/>
    <w:next w:val="CommentText"/>
    <w:link w:val="CommentSubjectChar"/>
    <w:rsid w:val="00302A7D"/>
    <w:rPr>
      <w:b/>
      <w:bCs/>
      <w:sz w:val="20"/>
      <w:szCs w:val="20"/>
    </w:rPr>
  </w:style>
  <w:style w:type="character" w:customStyle="1" w:styleId="CommentSubjectChar">
    <w:name w:val="Comment Subject Char"/>
    <w:basedOn w:val="CommentTextChar"/>
    <w:link w:val="CommentSubject"/>
    <w:rsid w:val="00302A7D"/>
    <w:rPr>
      <w:b/>
      <w:bCs/>
      <w:sz w:val="20"/>
      <w:szCs w:val="20"/>
    </w:rPr>
  </w:style>
  <w:style w:type="paragraph" w:styleId="BalloonText">
    <w:name w:val="Balloon Text"/>
    <w:basedOn w:val="Normal"/>
    <w:link w:val="BalloonTextChar"/>
    <w:rsid w:val="00302A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02A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2643">
      <w:bodyDiv w:val="1"/>
      <w:marLeft w:val="0"/>
      <w:marRight w:val="0"/>
      <w:marTop w:val="0"/>
      <w:marBottom w:val="0"/>
      <w:divBdr>
        <w:top w:val="none" w:sz="0" w:space="0" w:color="auto"/>
        <w:left w:val="none" w:sz="0" w:space="0" w:color="auto"/>
        <w:bottom w:val="none" w:sz="0" w:space="0" w:color="auto"/>
        <w:right w:val="none" w:sz="0" w:space="0" w:color="auto"/>
      </w:divBdr>
    </w:div>
    <w:div w:id="85613143">
      <w:bodyDiv w:val="1"/>
      <w:marLeft w:val="0"/>
      <w:marRight w:val="0"/>
      <w:marTop w:val="0"/>
      <w:marBottom w:val="0"/>
      <w:divBdr>
        <w:top w:val="none" w:sz="0" w:space="0" w:color="auto"/>
        <w:left w:val="none" w:sz="0" w:space="0" w:color="auto"/>
        <w:bottom w:val="none" w:sz="0" w:space="0" w:color="auto"/>
        <w:right w:val="none" w:sz="0" w:space="0" w:color="auto"/>
      </w:divBdr>
    </w:div>
    <w:div w:id="138114717">
      <w:bodyDiv w:val="1"/>
      <w:marLeft w:val="0"/>
      <w:marRight w:val="0"/>
      <w:marTop w:val="0"/>
      <w:marBottom w:val="0"/>
      <w:divBdr>
        <w:top w:val="none" w:sz="0" w:space="0" w:color="auto"/>
        <w:left w:val="none" w:sz="0" w:space="0" w:color="auto"/>
        <w:bottom w:val="none" w:sz="0" w:space="0" w:color="auto"/>
        <w:right w:val="none" w:sz="0" w:space="0" w:color="auto"/>
      </w:divBdr>
    </w:div>
    <w:div w:id="316885616">
      <w:bodyDiv w:val="1"/>
      <w:marLeft w:val="0"/>
      <w:marRight w:val="0"/>
      <w:marTop w:val="0"/>
      <w:marBottom w:val="0"/>
      <w:divBdr>
        <w:top w:val="none" w:sz="0" w:space="0" w:color="auto"/>
        <w:left w:val="none" w:sz="0" w:space="0" w:color="auto"/>
        <w:bottom w:val="none" w:sz="0" w:space="0" w:color="auto"/>
        <w:right w:val="none" w:sz="0" w:space="0" w:color="auto"/>
      </w:divBdr>
    </w:div>
    <w:div w:id="601718760">
      <w:bodyDiv w:val="1"/>
      <w:marLeft w:val="0"/>
      <w:marRight w:val="0"/>
      <w:marTop w:val="0"/>
      <w:marBottom w:val="0"/>
      <w:divBdr>
        <w:top w:val="none" w:sz="0" w:space="0" w:color="auto"/>
        <w:left w:val="none" w:sz="0" w:space="0" w:color="auto"/>
        <w:bottom w:val="none" w:sz="0" w:space="0" w:color="auto"/>
        <w:right w:val="none" w:sz="0" w:space="0" w:color="auto"/>
      </w:divBdr>
    </w:div>
    <w:div w:id="695351294">
      <w:bodyDiv w:val="1"/>
      <w:marLeft w:val="0"/>
      <w:marRight w:val="0"/>
      <w:marTop w:val="0"/>
      <w:marBottom w:val="0"/>
      <w:divBdr>
        <w:top w:val="none" w:sz="0" w:space="0" w:color="auto"/>
        <w:left w:val="none" w:sz="0" w:space="0" w:color="auto"/>
        <w:bottom w:val="none" w:sz="0" w:space="0" w:color="auto"/>
        <w:right w:val="none" w:sz="0" w:space="0" w:color="auto"/>
      </w:divBdr>
      <w:divsChild>
        <w:div w:id="1628972985">
          <w:marLeft w:val="0"/>
          <w:marRight w:val="0"/>
          <w:marTop w:val="0"/>
          <w:marBottom w:val="0"/>
          <w:divBdr>
            <w:top w:val="none" w:sz="0" w:space="0" w:color="auto"/>
            <w:left w:val="none" w:sz="0" w:space="0" w:color="auto"/>
            <w:bottom w:val="none" w:sz="0" w:space="0" w:color="auto"/>
            <w:right w:val="none" w:sz="0" w:space="0" w:color="auto"/>
          </w:divBdr>
        </w:div>
        <w:div w:id="1840151323">
          <w:marLeft w:val="0"/>
          <w:marRight w:val="0"/>
          <w:marTop w:val="0"/>
          <w:marBottom w:val="0"/>
          <w:divBdr>
            <w:top w:val="none" w:sz="0" w:space="0" w:color="auto"/>
            <w:left w:val="none" w:sz="0" w:space="0" w:color="auto"/>
            <w:bottom w:val="none" w:sz="0" w:space="0" w:color="auto"/>
            <w:right w:val="none" w:sz="0" w:space="0" w:color="auto"/>
          </w:divBdr>
        </w:div>
        <w:div w:id="1526864909">
          <w:marLeft w:val="0"/>
          <w:marRight w:val="0"/>
          <w:marTop w:val="0"/>
          <w:marBottom w:val="0"/>
          <w:divBdr>
            <w:top w:val="none" w:sz="0" w:space="0" w:color="auto"/>
            <w:left w:val="none" w:sz="0" w:space="0" w:color="auto"/>
            <w:bottom w:val="none" w:sz="0" w:space="0" w:color="auto"/>
            <w:right w:val="none" w:sz="0" w:space="0" w:color="auto"/>
          </w:divBdr>
        </w:div>
      </w:divsChild>
    </w:div>
    <w:div w:id="957644194">
      <w:bodyDiv w:val="1"/>
      <w:marLeft w:val="0"/>
      <w:marRight w:val="0"/>
      <w:marTop w:val="0"/>
      <w:marBottom w:val="0"/>
      <w:divBdr>
        <w:top w:val="none" w:sz="0" w:space="0" w:color="auto"/>
        <w:left w:val="none" w:sz="0" w:space="0" w:color="auto"/>
        <w:bottom w:val="none" w:sz="0" w:space="0" w:color="auto"/>
        <w:right w:val="none" w:sz="0" w:space="0" w:color="auto"/>
      </w:divBdr>
    </w:div>
    <w:div w:id="1086344962">
      <w:bodyDiv w:val="1"/>
      <w:marLeft w:val="0"/>
      <w:marRight w:val="0"/>
      <w:marTop w:val="0"/>
      <w:marBottom w:val="0"/>
      <w:divBdr>
        <w:top w:val="none" w:sz="0" w:space="0" w:color="auto"/>
        <w:left w:val="none" w:sz="0" w:space="0" w:color="auto"/>
        <w:bottom w:val="none" w:sz="0" w:space="0" w:color="auto"/>
        <w:right w:val="none" w:sz="0" w:space="0" w:color="auto"/>
      </w:divBdr>
    </w:div>
    <w:div w:id="1106076610">
      <w:bodyDiv w:val="1"/>
      <w:marLeft w:val="0"/>
      <w:marRight w:val="0"/>
      <w:marTop w:val="0"/>
      <w:marBottom w:val="0"/>
      <w:divBdr>
        <w:top w:val="none" w:sz="0" w:space="0" w:color="auto"/>
        <w:left w:val="none" w:sz="0" w:space="0" w:color="auto"/>
        <w:bottom w:val="none" w:sz="0" w:space="0" w:color="auto"/>
        <w:right w:val="none" w:sz="0" w:space="0" w:color="auto"/>
      </w:divBdr>
    </w:div>
    <w:div w:id="1345087118">
      <w:bodyDiv w:val="1"/>
      <w:marLeft w:val="0"/>
      <w:marRight w:val="0"/>
      <w:marTop w:val="0"/>
      <w:marBottom w:val="0"/>
      <w:divBdr>
        <w:top w:val="none" w:sz="0" w:space="0" w:color="auto"/>
        <w:left w:val="none" w:sz="0" w:space="0" w:color="auto"/>
        <w:bottom w:val="none" w:sz="0" w:space="0" w:color="auto"/>
        <w:right w:val="none" w:sz="0" w:space="0" w:color="auto"/>
      </w:divBdr>
    </w:div>
    <w:div w:id="1532181519">
      <w:bodyDiv w:val="1"/>
      <w:marLeft w:val="0"/>
      <w:marRight w:val="0"/>
      <w:marTop w:val="0"/>
      <w:marBottom w:val="0"/>
      <w:divBdr>
        <w:top w:val="none" w:sz="0" w:space="0" w:color="auto"/>
        <w:left w:val="none" w:sz="0" w:space="0" w:color="auto"/>
        <w:bottom w:val="none" w:sz="0" w:space="0" w:color="auto"/>
        <w:right w:val="none" w:sz="0" w:space="0" w:color="auto"/>
      </w:divBdr>
      <w:divsChild>
        <w:div w:id="1896236885">
          <w:marLeft w:val="0"/>
          <w:marRight w:val="0"/>
          <w:marTop w:val="0"/>
          <w:marBottom w:val="0"/>
          <w:divBdr>
            <w:top w:val="none" w:sz="0" w:space="0" w:color="auto"/>
            <w:left w:val="none" w:sz="0" w:space="0" w:color="auto"/>
            <w:bottom w:val="none" w:sz="0" w:space="0" w:color="auto"/>
            <w:right w:val="none" w:sz="0" w:space="0" w:color="auto"/>
          </w:divBdr>
        </w:div>
        <w:div w:id="774519140">
          <w:marLeft w:val="0"/>
          <w:marRight w:val="0"/>
          <w:marTop w:val="0"/>
          <w:marBottom w:val="0"/>
          <w:divBdr>
            <w:top w:val="none" w:sz="0" w:space="0" w:color="auto"/>
            <w:left w:val="none" w:sz="0" w:space="0" w:color="auto"/>
            <w:bottom w:val="none" w:sz="0" w:space="0" w:color="auto"/>
            <w:right w:val="none" w:sz="0" w:space="0" w:color="auto"/>
          </w:divBdr>
        </w:div>
        <w:div w:id="1340541551">
          <w:marLeft w:val="0"/>
          <w:marRight w:val="0"/>
          <w:marTop w:val="0"/>
          <w:marBottom w:val="0"/>
          <w:divBdr>
            <w:top w:val="none" w:sz="0" w:space="0" w:color="auto"/>
            <w:left w:val="none" w:sz="0" w:space="0" w:color="auto"/>
            <w:bottom w:val="none" w:sz="0" w:space="0" w:color="auto"/>
            <w:right w:val="none" w:sz="0" w:space="0" w:color="auto"/>
          </w:divBdr>
        </w:div>
      </w:divsChild>
    </w:div>
    <w:div w:id="19627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ccd/" TargetMode="External"/><Relationship Id="rId13" Type="http://schemas.openxmlformats.org/officeDocument/2006/relationships/hyperlink" Target="https://www.ideadata.org/DACAnalyticTool/Intro_2.asp" TargetMode="External"/><Relationship Id="rId18" Type="http://schemas.openxmlformats.org/officeDocument/2006/relationships/hyperlink" Target="https://www.ideadata.org/DACAnalyticTool/Intro_2.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deadata.org/DACAnalyticTool/Intro_2.asp" TargetMode="External"/><Relationship Id="rId12" Type="http://schemas.openxmlformats.org/officeDocument/2006/relationships/hyperlink" Target="file:///C:\Users\Skip%20Stahl\Desktop\Goldstein\SWD%20Print%20disabilities\Retrieved%20from:%20http:\www.seels.net\designdocs\SEELS_VI_report_final.pdf;%20Kirchner%20&amp;%20Diament%20(1999);%20J.%20Erin%20(personal%20communication,%20March%2018,%202011)" TargetMode="External"/><Relationship Id="rId17" Type="http://schemas.openxmlformats.org/officeDocument/2006/relationships/hyperlink" Target="http://www.seels.net/designdocs/SEELS_disability_profile.pdf" TargetMode="External"/><Relationship Id="rId2" Type="http://schemas.microsoft.com/office/2007/relationships/stylesWithEffects" Target="stylesWithEffects.xml"/><Relationship Id="rId16" Type="http://schemas.openxmlformats.org/officeDocument/2006/relationships/hyperlink" Target="https://www.ideadata.org/DACAnalyticTool/Intro_2.as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nsus.gov/population/www/socdemo/school/cps2009.html" TargetMode="External"/><Relationship Id="rId11" Type="http://schemas.openxmlformats.org/officeDocument/2006/relationships/hyperlink" Target="https://www.ideadata.org/DACAnalyticTool/Intro_2.asp" TargetMode="External"/><Relationship Id="rId5" Type="http://schemas.openxmlformats.org/officeDocument/2006/relationships/hyperlink" Target="http://www.census.gov/population/www/socdemo/school/cps2009.html" TargetMode="External"/><Relationship Id="rId15" Type="http://schemas.openxmlformats.org/officeDocument/2006/relationships/hyperlink" Target="https://www.ideadata.org/DACAnalyticTool/Intro_2.asp" TargetMode="External"/><Relationship Id="rId10" Type="http://schemas.openxmlformats.org/officeDocument/2006/relationships/hyperlink" Target="https://www.ideadata.org/DACAnalyticTool/Intro_2.asp" TargetMode="External"/><Relationship Id="rId19" Type="http://schemas.openxmlformats.org/officeDocument/2006/relationships/hyperlink" Target="https://www.ideadata.org/DACAnalyticTool/Intro_2.asp" TargetMode="External"/><Relationship Id="rId4" Type="http://schemas.openxmlformats.org/officeDocument/2006/relationships/webSettings" Target="webSettings.xml"/><Relationship Id="rId9" Type="http://schemas.openxmlformats.org/officeDocument/2006/relationships/hyperlink" Target="http://ocrdata.ed.gov/Default.aspx" TargetMode="External"/><Relationship Id="rId14" Type="http://schemas.openxmlformats.org/officeDocument/2006/relationships/hyperlink" Target="file:///C:\Users\Skip%20Stahl\Desktop\Goldstein\SWD%20Print%20disabilities\DAC%20https:\www.ideadata.org\DACAnalyticTool\Intro_2.asp;%20Kirchner%20&amp;%20Diament%20(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5011</Characters>
  <Application>Microsoft Office Word</Application>
  <DocSecurity>4</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Summary</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Hitchcock</dc:creator>
  <cp:lastModifiedBy>Lauren McLarney</cp:lastModifiedBy>
  <cp:revision>2</cp:revision>
  <cp:lastPrinted>2011-03-29T17:19:00Z</cp:lastPrinted>
  <dcterms:created xsi:type="dcterms:W3CDTF">2014-02-07T15:20:00Z</dcterms:created>
  <dcterms:modified xsi:type="dcterms:W3CDTF">2014-02-07T15:20:00Z</dcterms:modified>
</cp:coreProperties>
</file>